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200"/>
      </w:pPr>
      <w:r>
        <w:drawing>
          <wp:inline xmlns:a="http://schemas.openxmlformats.org/drawingml/2006/main" xmlns:pic="http://schemas.openxmlformats.org/drawingml/2006/picture">
            <wp:extent cx="2160000" cy="405540"/>
            <wp:docPr id="1" name="Picture 1"/>
            <wp:cNvGraphicFramePr>
              <a:graphicFrameLocks noChangeAspect="1"/>
            </wp:cNvGraphicFramePr>
            <a:graphic>
              <a:graphicData uri="http://schemas.openxmlformats.org/drawingml/2006/picture">
                <pic:pic>
                  <pic:nvPicPr>
                    <pic:cNvPr id="0" name="nova-jones-logo.png"/>
                    <pic:cNvPicPr/>
                  </pic:nvPicPr>
                  <pic:blipFill>
                    <a:blip r:embed="rId9"/>
                    <a:stretch>
                      <a:fillRect/>
                    </a:stretch>
                  </pic:blipFill>
                  <pic:spPr>
                    <a:xfrm>
                      <a:off x="0" y="0"/>
                      <a:ext cx="2160000" cy="405540"/>
                    </a:xfrm>
                    <a:prstGeom prst="rect"/>
                  </pic:spPr>
                </pic:pic>
              </a:graphicData>
            </a:graphic>
          </wp:inline>
        </w:drawing>
      </w:r>
    </w:p>
    <w:p>
      <w:pPr>
        <w:spacing w:after="80"/>
      </w:pPr>
      <w:r>
        <w:rPr>
          <w:rFonts w:ascii="Arial" w:hAnsi="Arial"/>
          <w:b/>
          <w:color w:val="E87722"/>
          <w:sz w:val="16"/>
          <w:spacing w:val="60"/>
        </w:rPr>
        <w:t>CAPABILITY STATEMENT</w:t>
      </w:r>
    </w:p>
    <w:p>
      <w:pPr>
        <w:spacing w:after="160"/>
      </w:pPr>
      <w:r>
        <w:rPr>
          <w:rFonts w:ascii="Arial" w:hAnsi="Arial"/>
          <w:b/>
          <w:color w:val="15181B"/>
          <w:sz w:val="96"/>
        </w:rPr>
        <w:t>External Cladding</w:t>
      </w:r>
    </w:p>
    <w:p>
      <w:pPr>
        <w:spacing w:after="560"/>
        <w:pBdr>
          <w:bottom w:val="single" w:sz="24" w:color="E87722" w:space="8"/>
        </w:pBdr>
      </w:pPr>
      <w:r>
        <w:rPr>
          <w:rFonts w:ascii="Arial" w:hAnsi="Arial"/>
          <w:b w:val="0"/>
          <w:color w:val="3A4047"/>
          <w:sz w:val="32"/>
        </w:rPr>
        <w:t>Supply &amp; Installation Specialists</w:t>
      </w:r>
    </w:p>
    <w:p>
      <w:pPr>
        <w:spacing w:after="1200"/>
      </w:pPr>
      <w:r>
        <w:rPr>
          <w:rFonts w:ascii="Arial" w:hAnsi="Arial"/>
          <w:b w:val="0"/>
          <w:color w:val="3A4047"/>
          <w:sz w:val="26"/>
        </w:rPr>
        <w:t>For Medium-Density, Institutional &amp; Commercial Builders</w:t>
      </w:r>
    </w:p>
    <w:p>
      <w:pPr>
        <w:spacing w:after="80"/>
      </w:pPr>
      <w:r>
        <w:rPr>
          <w:rFonts w:ascii="Arial" w:hAnsi="Arial"/>
          <w:b w:val="0"/>
          <w:color w:val="8B9099"/>
          <w:sz w:val="20"/>
        </w:rPr>
        <w:t>2026 Edition</w:t>
      </w:r>
    </w:p>
    <w:p>
      <w:pPr>
        <w:spacing w:after="80"/>
      </w:pPr>
      <w:r>
        <w:rPr>
          <w:rFonts w:ascii="Arial" w:hAnsi="Arial"/>
          <w:b w:val="0"/>
          <w:color w:val="8B9099"/>
          <w:sz w:val="20"/>
        </w:rPr>
        <w:t>Nova Jones Pty Ltd  ·  Victoria, Australia</w:t>
      </w:r>
    </w:p>
    <w:p>
      <w:r>
        <w:rPr>
          <w:rFonts w:ascii="Arial" w:hAnsi="Arial"/>
          <w:b w:val="0"/>
          <w:color w:val="3A4047"/>
          <w:sz w:val="20"/>
        </w:rPr>
        <w:t>novajones.com.au   ·   sales@novajones.com.au   ·   0433 044 046</w:t>
      </w:r>
    </w:p>
    <w:p>
      <w:r>
        <w:br w:type="page"/>
      </w:r>
    </w:p>
    <w:p>
      <w:pPr>
        <w:sectPr>
          <w:pgSz w:w="12240" w:h="15840"/>
          <w:pgMar w:top="1701" w:right="1701" w:bottom="1984" w:left="1701" w:header="720" w:footer="720" w:gutter="0"/>
          <w:cols w:space="720"/>
          <w:docGrid w:linePitch="360"/>
        </w:sectPr>
      </w:pPr>
    </w:p>
    <w:p>
      <w:pPr>
        <w:spacing w:after="80"/>
      </w:pPr>
      <w:r>
        <w:rPr>
          <w:rFonts w:ascii="Arial" w:hAnsi="Arial"/>
          <w:b/>
          <w:color w:val="E87722"/>
          <w:sz w:val="16"/>
          <w:spacing w:val="60"/>
        </w:rPr>
        <w:t>CONTENTS</w:t>
      </w:r>
    </w:p>
    <w:p>
      <w:pPr>
        <w:spacing w:after="400"/>
      </w:pPr>
      <w:r>
        <w:rPr>
          <w:rFonts w:ascii="Arial" w:hAnsi="Arial"/>
          <w:b/>
          <w:color w:val="15181B"/>
          <w:sz w:val="44"/>
        </w:rPr>
        <w:t>Table of contents.</w:t>
      </w:r>
    </w:p>
    <w:p>
      <w:pPr>
        <w:tabs>
          <w:tab w:pos="8787" w:val="right" w:leader="dot"/>
        </w:tabs>
        <w:spacing w:after="140" w:line="312" w:lineRule="auto"/>
      </w:pPr>
      <w:r>
        <w:rPr>
          <w:rFonts w:ascii="Arial" w:hAnsi="Arial"/>
          <w:b/>
          <w:color w:val="15181B"/>
          <w:sz w:val="22"/>
        </w:rPr>
        <w:t>01   Executive Summary</w:t>
      </w:r>
      <w:r>
        <w:tab/>
      </w:r>
      <w:r>
        <w:rPr>
          <w:rFonts w:ascii="Arial" w:hAnsi="Arial"/>
          <w:b w:val="0"/>
          <w:color w:val="8B9099"/>
          <w:sz w:val="22"/>
        </w:rPr>
        <w:t>3</w:t>
      </w:r>
    </w:p>
    <w:p>
      <w:pPr>
        <w:tabs>
          <w:tab w:pos="8787" w:val="right" w:leader="dot"/>
        </w:tabs>
        <w:spacing w:after="140" w:line="312" w:lineRule="auto"/>
      </w:pPr>
      <w:r>
        <w:rPr>
          <w:rFonts w:ascii="Arial" w:hAnsi="Arial"/>
          <w:b/>
          <w:color w:val="15181B"/>
          <w:sz w:val="22"/>
        </w:rPr>
        <w:t>02   About Nova Jones</w:t>
      </w:r>
      <w:r>
        <w:tab/>
      </w:r>
      <w:r>
        <w:rPr>
          <w:rFonts w:ascii="Arial" w:hAnsi="Arial"/>
          <w:b w:val="0"/>
          <w:color w:val="8B9099"/>
          <w:sz w:val="22"/>
        </w:rPr>
        <w:t>4</w:t>
      </w:r>
    </w:p>
    <w:p>
      <w:pPr>
        <w:tabs>
          <w:tab w:pos="8787" w:val="right" w:leader="dot"/>
        </w:tabs>
        <w:spacing w:after="140" w:line="312" w:lineRule="auto"/>
      </w:pPr>
      <w:r>
        <w:rPr>
          <w:rFonts w:ascii="Arial" w:hAnsi="Arial"/>
          <w:b/>
          <w:color w:val="15181B"/>
          <w:sz w:val="22"/>
        </w:rPr>
        <w:t>03   Sectors We Serve</w:t>
      </w:r>
      <w:r>
        <w:tab/>
      </w:r>
      <w:r>
        <w:rPr>
          <w:rFonts w:ascii="Arial" w:hAnsi="Arial"/>
          <w:b w:val="0"/>
          <w:color w:val="8B9099"/>
          <w:sz w:val="22"/>
        </w:rPr>
        <w:t>5</w:t>
      </w:r>
    </w:p>
    <w:p>
      <w:pPr>
        <w:tabs>
          <w:tab w:pos="8787" w:val="right" w:leader="dot"/>
        </w:tabs>
        <w:spacing w:after="140" w:line="312" w:lineRule="auto"/>
      </w:pPr>
      <w:r>
        <w:rPr>
          <w:rFonts w:ascii="Arial" w:hAnsi="Arial"/>
          <w:b/>
          <w:color w:val="15181B"/>
          <w:sz w:val="22"/>
        </w:rPr>
        <w:t>04   Authorised Supply Partners</w:t>
      </w:r>
      <w:r>
        <w:tab/>
      </w:r>
      <w:r>
        <w:rPr>
          <w:rFonts w:ascii="Arial" w:hAnsi="Arial"/>
          <w:b w:val="0"/>
          <w:color w:val="8B9099"/>
          <w:sz w:val="22"/>
        </w:rPr>
        <w:t>6</w:t>
      </w:r>
    </w:p>
    <w:p>
      <w:pPr>
        <w:tabs>
          <w:tab w:pos="8787" w:val="right" w:leader="dot"/>
        </w:tabs>
        <w:spacing w:after="140" w:line="312" w:lineRule="auto"/>
      </w:pPr>
      <w:r>
        <w:rPr>
          <w:rFonts w:ascii="Arial" w:hAnsi="Arial"/>
          <w:b/>
          <w:color w:val="15181B"/>
          <w:sz w:val="22"/>
        </w:rPr>
        <w:t>05   Capability · External Cladding</w:t>
      </w:r>
      <w:r>
        <w:tab/>
      </w:r>
      <w:r>
        <w:rPr>
          <w:rFonts w:ascii="Arial" w:hAnsi="Arial"/>
          <w:b w:val="0"/>
          <w:color w:val="8B9099"/>
          <w:sz w:val="22"/>
        </w:rPr>
        <w:t>7</w:t>
      </w:r>
    </w:p>
    <w:p>
      <w:pPr>
        <w:tabs>
          <w:tab w:pos="8787" w:val="right" w:leader="dot"/>
        </w:tabs>
        <w:spacing w:after="140" w:line="312" w:lineRule="auto"/>
      </w:pPr>
      <w:r>
        <w:rPr>
          <w:rFonts w:ascii="Arial" w:hAnsi="Arial"/>
          <w:b/>
          <w:color w:val="15181B"/>
          <w:sz w:val="22"/>
        </w:rPr>
        <w:t>06   Capability · Architectural Mouldings</w:t>
      </w:r>
      <w:r>
        <w:tab/>
      </w:r>
      <w:r>
        <w:rPr>
          <w:rFonts w:ascii="Arial" w:hAnsi="Arial"/>
          <w:b w:val="0"/>
          <w:color w:val="8B9099"/>
          <w:sz w:val="22"/>
        </w:rPr>
        <w:t>8</w:t>
      </w:r>
    </w:p>
    <w:p>
      <w:pPr>
        <w:tabs>
          <w:tab w:pos="8787" w:val="right" w:leader="dot"/>
        </w:tabs>
        <w:spacing w:after="140" w:line="312" w:lineRule="auto"/>
      </w:pPr>
      <w:r>
        <w:rPr>
          <w:rFonts w:ascii="Arial" w:hAnsi="Arial"/>
          <w:b/>
          <w:color w:val="15181B"/>
          <w:sz w:val="22"/>
        </w:rPr>
        <w:t>07   Capability · Rendering &amp; Texture</w:t>
      </w:r>
      <w:r>
        <w:tab/>
      </w:r>
      <w:r>
        <w:rPr>
          <w:rFonts w:ascii="Arial" w:hAnsi="Arial"/>
          <w:b w:val="0"/>
          <w:color w:val="8B9099"/>
          <w:sz w:val="22"/>
        </w:rPr>
        <w:t>9</w:t>
      </w:r>
    </w:p>
    <w:p>
      <w:pPr>
        <w:tabs>
          <w:tab w:pos="8787" w:val="right" w:leader="dot"/>
        </w:tabs>
        <w:spacing w:after="140" w:line="312" w:lineRule="auto"/>
      </w:pPr>
      <w:r>
        <w:rPr>
          <w:rFonts w:ascii="Arial" w:hAnsi="Arial"/>
          <w:b/>
          <w:color w:val="15181B"/>
          <w:sz w:val="22"/>
        </w:rPr>
        <w:t>08   Capability · Wall Systems</w:t>
      </w:r>
      <w:r>
        <w:tab/>
      </w:r>
      <w:r>
        <w:rPr>
          <w:rFonts w:ascii="Arial" w:hAnsi="Arial"/>
          <w:b w:val="0"/>
          <w:color w:val="8B9099"/>
          <w:sz w:val="22"/>
        </w:rPr>
        <w:t>10</w:t>
      </w:r>
    </w:p>
    <w:p>
      <w:pPr>
        <w:tabs>
          <w:tab w:pos="8787" w:val="right" w:leader="dot"/>
        </w:tabs>
        <w:spacing w:after="140" w:line="312" w:lineRule="auto"/>
      </w:pPr>
      <w:r>
        <w:rPr>
          <w:rFonts w:ascii="Arial" w:hAnsi="Arial"/>
          <w:b/>
          <w:color w:val="15181B"/>
          <w:sz w:val="22"/>
        </w:rPr>
        <w:t>09   Delivery Model</w:t>
      </w:r>
      <w:r>
        <w:tab/>
      </w:r>
      <w:r>
        <w:rPr>
          <w:rFonts w:ascii="Arial" w:hAnsi="Arial"/>
          <w:b w:val="0"/>
          <w:color w:val="8B9099"/>
          <w:sz w:val="22"/>
        </w:rPr>
        <w:t>11</w:t>
      </w:r>
    </w:p>
    <w:p>
      <w:pPr>
        <w:tabs>
          <w:tab w:pos="8787" w:val="right" w:leader="dot"/>
        </w:tabs>
        <w:spacing w:after="140" w:line="312" w:lineRule="auto"/>
      </w:pPr>
      <w:r>
        <w:rPr>
          <w:rFonts w:ascii="Arial" w:hAnsi="Arial"/>
          <w:b/>
          <w:color w:val="15181B"/>
          <w:sz w:val="22"/>
        </w:rPr>
        <w:t>10   Our Team</w:t>
      </w:r>
      <w:r>
        <w:tab/>
      </w:r>
      <w:r>
        <w:rPr>
          <w:rFonts w:ascii="Arial" w:hAnsi="Arial"/>
          <w:b w:val="0"/>
          <w:color w:val="8B9099"/>
          <w:sz w:val="22"/>
        </w:rPr>
        <w:t>12</w:t>
      </w:r>
    </w:p>
    <w:p>
      <w:pPr>
        <w:tabs>
          <w:tab w:pos="8787" w:val="right" w:leader="dot"/>
        </w:tabs>
        <w:spacing w:after="140" w:line="312" w:lineRule="auto"/>
      </w:pPr>
      <w:r>
        <w:rPr>
          <w:rFonts w:ascii="Arial" w:hAnsi="Arial"/>
          <w:b/>
          <w:color w:val="15181B"/>
          <w:sz w:val="22"/>
        </w:rPr>
        <w:t>11   Integrated Management Systems</w:t>
      </w:r>
      <w:r>
        <w:tab/>
      </w:r>
      <w:r>
        <w:rPr>
          <w:rFonts w:ascii="Arial" w:hAnsi="Arial"/>
          <w:b w:val="0"/>
          <w:color w:val="8B9099"/>
          <w:sz w:val="22"/>
        </w:rPr>
        <w:t>13</w:t>
      </w:r>
    </w:p>
    <w:p>
      <w:pPr>
        <w:tabs>
          <w:tab w:pos="8787" w:val="right" w:leader="dot"/>
        </w:tabs>
        <w:spacing w:after="140" w:line="312" w:lineRule="auto"/>
      </w:pPr>
      <w:r>
        <w:rPr>
          <w:rFonts w:ascii="Arial" w:hAnsi="Arial"/>
          <w:b/>
          <w:color w:val="15181B"/>
          <w:sz w:val="22"/>
        </w:rPr>
        <w:t>12   Safety, Quality &amp; Compliance</w:t>
      </w:r>
      <w:r>
        <w:tab/>
      </w:r>
      <w:r>
        <w:rPr>
          <w:rFonts w:ascii="Arial" w:hAnsi="Arial"/>
          <w:b w:val="0"/>
          <w:color w:val="8B9099"/>
          <w:sz w:val="22"/>
        </w:rPr>
        <w:t>14</w:t>
      </w:r>
    </w:p>
    <w:p>
      <w:pPr>
        <w:tabs>
          <w:tab w:pos="8787" w:val="right" w:leader="dot"/>
        </w:tabs>
        <w:spacing w:after="140" w:line="312" w:lineRule="auto"/>
      </w:pPr>
      <w:r>
        <w:rPr>
          <w:rFonts w:ascii="Arial" w:hAnsi="Arial"/>
          <w:b/>
          <w:color w:val="15181B"/>
          <w:sz w:val="22"/>
        </w:rPr>
        <w:t>13   Standards &amp; Credentials</w:t>
      </w:r>
      <w:r>
        <w:tab/>
      </w:r>
      <w:r>
        <w:rPr>
          <w:rFonts w:ascii="Arial" w:hAnsi="Arial"/>
          <w:b w:val="0"/>
          <w:color w:val="8B9099"/>
          <w:sz w:val="22"/>
        </w:rPr>
        <w:t>15</w:t>
      </w:r>
    </w:p>
    <w:p>
      <w:pPr>
        <w:tabs>
          <w:tab w:pos="8787" w:val="right" w:leader="dot"/>
        </w:tabs>
        <w:spacing w:after="140" w:line="312" w:lineRule="auto"/>
      </w:pPr>
      <w:r>
        <w:rPr>
          <w:rFonts w:ascii="Arial" w:hAnsi="Arial"/>
          <w:b/>
          <w:color w:val="15181B"/>
          <w:sz w:val="22"/>
        </w:rPr>
        <w:t>14   Engagement &amp; Tender Process</w:t>
      </w:r>
      <w:r>
        <w:tab/>
      </w:r>
      <w:r>
        <w:rPr>
          <w:rFonts w:ascii="Arial" w:hAnsi="Arial"/>
          <w:b w:val="0"/>
          <w:color w:val="8B9099"/>
          <w:sz w:val="22"/>
        </w:rPr>
        <w:t>16</w:t>
      </w:r>
    </w:p>
    <w:p>
      <w:pPr>
        <w:tabs>
          <w:tab w:pos="8787" w:val="right" w:leader="dot"/>
        </w:tabs>
        <w:spacing w:after="140" w:line="312" w:lineRule="auto"/>
      </w:pPr>
      <w:r>
        <w:rPr>
          <w:rFonts w:ascii="Arial" w:hAnsi="Arial"/>
          <w:b/>
          <w:color w:val="15181B"/>
          <w:sz w:val="22"/>
        </w:rPr>
        <w:t>15   Why Nova Jones</w:t>
      </w:r>
      <w:r>
        <w:tab/>
      </w:r>
      <w:r>
        <w:rPr>
          <w:rFonts w:ascii="Arial" w:hAnsi="Arial"/>
          <w:b w:val="0"/>
          <w:color w:val="8B9099"/>
          <w:sz w:val="22"/>
        </w:rPr>
        <w:t>17</w:t>
      </w:r>
    </w:p>
    <w:p>
      <w:pPr>
        <w:tabs>
          <w:tab w:pos="8787" w:val="right" w:leader="dot"/>
        </w:tabs>
        <w:spacing w:after="140" w:line="312" w:lineRule="auto"/>
      </w:pPr>
      <w:r>
        <w:rPr>
          <w:rFonts w:ascii="Arial" w:hAnsi="Arial"/>
          <w:b/>
          <w:color w:val="15181B"/>
          <w:sz w:val="22"/>
        </w:rPr>
        <w:t>16   Contact</w:t>
      </w:r>
      <w:r>
        <w:tab/>
      </w:r>
      <w:r>
        <w:rPr>
          <w:rFonts w:ascii="Arial" w:hAnsi="Arial"/>
          <w:b w:val="0"/>
          <w:color w:val="8B9099"/>
          <w:sz w:val="22"/>
        </w:rPr>
        <w:t>18</w:t>
      </w:r>
    </w:p>
    <w:p>
      <w:r>
        <w:br w:type="page"/>
      </w:r>
    </w:p>
    <w:p>
      <w:pPr>
        <w:spacing w:after="80"/>
      </w:pPr>
      <w:r>
        <w:rPr>
          <w:rFonts w:ascii="Arial" w:hAnsi="Arial"/>
          <w:b/>
          <w:color w:val="E87722"/>
          <w:sz w:val="16"/>
          <w:spacing w:val="60"/>
        </w:rPr>
        <w:t>01 · EXECUTIVE SUMMARY</w:t>
      </w:r>
    </w:p>
    <w:p>
      <w:pPr>
        <w:spacing w:before="160" w:after="220"/>
      </w:pPr>
      <w:r>
        <w:rPr>
          <w:rFonts w:ascii="Arial" w:hAnsi="Arial"/>
          <w:b/>
          <w:color w:val="15181B"/>
          <w:sz w:val="40"/>
        </w:rPr>
        <w:t>Nova Jones at a glance.</w:t>
      </w:r>
    </w:p>
    <w:p>
      <w:pPr>
        <w:spacing w:line="348" w:lineRule="auto" w:after="140"/>
      </w:pPr>
      <w:r>
        <w:rPr>
          <w:rFonts w:ascii="Arial" w:hAnsi="Arial"/>
          <w:b w:val="0"/>
          <w:color w:val="3A4047"/>
          <w:sz w:val="22"/>
        </w:rPr>
        <w:t>Nova Jones is a Victorian-based External Cladding contractor delivering supply-and-install packages for medium-density, institutional and commercial construction. The business is structured for builders operating in regulated, programme-sensitive sectors — childcare, schools, aged care, medical facilities, multi-residential apartments, mixed-use developments and commercial precincts.</w:t>
      </w:r>
    </w:p>
    <w:tbl>
      <w:tblPr>
        <w:tblW w:type="auto" w:w="0"/>
        <w:tblLayout w:type="fixed"/>
        <w:tblLook w:firstColumn="1" w:firstRow="1" w:lastColumn="0" w:lastRow="0" w:noHBand="0" w:noVBand="1" w:val="04A0"/>
      </w:tblPr>
      <w:tblGrid>
        <w:gridCol w:w="4703"/>
        <w:gridCol w:w="4703"/>
      </w:tblGrid>
      <w:tr>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E87722"/>
                <w:sz w:val="14"/>
                <w:spacing w:val="80"/>
              </w:rPr>
              <w:t>SPECIALISM</w:t>
            </w:r>
          </w:p>
          <w:p>
            <w:pPr>
              <w:spacing w:after="0"/>
            </w:pPr>
            <w:r>
              <w:rPr>
                <w:rFonts w:ascii="Arial" w:hAnsi="Arial"/>
                <w:b/>
                <w:color w:val="15181B"/>
                <w:sz w:val="22"/>
              </w:rPr>
              <w:t>External Cladding · Supply &amp; Install</w:t>
            </w:r>
          </w:p>
        </w:tc>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E87722"/>
                <w:sz w:val="14"/>
                <w:spacing w:val="80"/>
              </w:rPr>
              <w:t>PRIMARY SECTORS</w:t>
            </w:r>
          </w:p>
          <w:p>
            <w:pPr>
              <w:spacing w:after="0"/>
            </w:pPr>
            <w:r>
              <w:rPr>
                <w:rFonts w:ascii="Arial" w:hAnsi="Arial"/>
                <w:b/>
                <w:color w:val="15181B"/>
                <w:sz w:val="22"/>
              </w:rPr>
              <w:t>Medium-Density · Institutional · Commercial</w:t>
            </w:r>
          </w:p>
        </w:tc>
      </w:tr>
      <w:tr>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E87722"/>
                <w:sz w:val="14"/>
                <w:spacing w:val="80"/>
              </w:rPr>
              <w:t>SERVICE AREA</w:t>
            </w:r>
          </w:p>
          <w:p>
            <w:pPr>
              <w:spacing w:after="0"/>
            </w:pPr>
            <w:r>
              <w:rPr>
                <w:rFonts w:ascii="Arial" w:hAnsi="Arial"/>
                <w:b/>
                <w:color w:val="15181B"/>
                <w:sz w:val="22"/>
              </w:rPr>
              <w:t>All of Victoria · Melbourne metro &amp; regional</w:t>
            </w:r>
          </w:p>
        </w:tc>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E87722"/>
                <w:sz w:val="14"/>
                <w:spacing w:val="80"/>
              </w:rPr>
              <w:t>DELIVERY MODEL</w:t>
            </w:r>
          </w:p>
          <w:p>
            <w:pPr>
              <w:spacing w:after="0"/>
            </w:pPr>
            <w:r>
              <w:rPr>
                <w:rFonts w:ascii="Arial" w:hAnsi="Arial"/>
                <w:b/>
                <w:color w:val="15181B"/>
                <w:sz w:val="22"/>
              </w:rPr>
              <w:t>Single point of accountability</w:t>
            </w:r>
          </w:p>
        </w:tc>
      </w:tr>
      <w:tr>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E87722"/>
                <w:sz w:val="14"/>
                <w:spacing w:val="80"/>
              </w:rPr>
              <w:t>AUTHORISED DISTRIBUTOR</w:t>
            </w:r>
          </w:p>
          <w:p>
            <w:pPr>
              <w:spacing w:after="0"/>
            </w:pPr>
            <w:r>
              <w:rPr>
                <w:rFonts w:ascii="Arial" w:hAnsi="Arial"/>
                <w:b/>
                <w:color w:val="15181B"/>
                <w:sz w:val="22"/>
              </w:rPr>
              <w:t>James Hardie · Hardie Gravis AAC · Hebel · CSR Cemintel · BGC Innova · Weathertex · Master Wall</w:t>
            </w:r>
          </w:p>
        </w:tc>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E87722"/>
                <w:sz w:val="14"/>
                <w:spacing w:val="80"/>
              </w:rPr>
              <w:t>COMPLIANCE</w:t>
            </w:r>
          </w:p>
          <w:p>
            <w:pPr>
              <w:spacing w:after="0"/>
            </w:pPr>
            <w:r>
              <w:rPr>
                <w:rFonts w:ascii="Arial" w:hAnsi="Arial"/>
                <w:b/>
                <w:color w:val="15181B"/>
                <w:sz w:val="22"/>
              </w:rPr>
              <w:t>AS/NZS · NCC · CodeMark · BAL-FZ · WorkSafe Victoria</w:t>
            </w:r>
          </w:p>
        </w:tc>
      </w:tr>
    </w:tbl>
    <w:p>
      <w:pPr>
        <w:spacing w:after="160"/>
      </w:pPr>
    </w:p>
    <w:p>
      <w:pPr>
        <w:spacing w:before="220" w:after="100"/>
      </w:pPr>
      <w:r>
        <w:rPr>
          <w:rFonts w:ascii="Arial" w:hAnsi="Arial"/>
          <w:b/>
          <w:color w:val="15181B"/>
          <w:sz w:val="22"/>
        </w:rPr>
        <w:t>Why builders choose Nova Jones</w:t>
      </w:r>
    </w:p>
    <w:p>
      <w:pPr>
        <w:pStyle w:val="ListBullet"/>
        <w:spacing w:after="60" w:line="312" w:lineRule="auto"/>
      </w:pPr>
      <w:r>
        <w:rPr>
          <w:rFonts w:ascii="Arial" w:hAnsi="Arial"/>
          <w:b w:val="0"/>
          <w:color w:val="3A4047"/>
          <w:sz w:val="22"/>
        </w:rPr>
        <w:t>Single trade accountability for the full External Cladding scope</w:t>
      </w:r>
    </w:p>
    <w:p>
      <w:pPr>
        <w:pStyle w:val="ListBullet"/>
        <w:spacing w:after="60" w:line="312" w:lineRule="auto"/>
      </w:pPr>
      <w:r>
        <w:rPr>
          <w:rFonts w:ascii="Arial" w:hAnsi="Arial"/>
          <w:b w:val="0"/>
          <w:color w:val="3A4047"/>
          <w:sz w:val="22"/>
        </w:rPr>
        <w:t>Manufacturer-spec installation across Hardie, Hebel, Cemintel and Innova</w:t>
      </w:r>
    </w:p>
    <w:p>
      <w:pPr>
        <w:pStyle w:val="ListBullet"/>
        <w:spacing w:after="60" w:line="312" w:lineRule="auto"/>
      </w:pPr>
      <w:r>
        <w:rPr>
          <w:rFonts w:ascii="Arial" w:hAnsi="Arial"/>
          <w:b w:val="0"/>
          <w:color w:val="3A4047"/>
          <w:sz w:val="22"/>
        </w:rPr>
        <w:t>Hardie Gravis AAC distribution and install capability</w:t>
      </w:r>
    </w:p>
    <w:p>
      <w:pPr>
        <w:pStyle w:val="ListBullet"/>
        <w:spacing w:after="60" w:line="312" w:lineRule="auto"/>
      </w:pPr>
      <w:r>
        <w:rPr>
          <w:rFonts w:ascii="Arial" w:hAnsi="Arial"/>
          <w:b w:val="0"/>
          <w:color w:val="3A4047"/>
          <w:sz w:val="22"/>
        </w:rPr>
        <w:t>Render and texture coordinated as part of the same package</w:t>
      </w:r>
    </w:p>
    <w:p>
      <w:pPr>
        <w:pStyle w:val="ListBullet"/>
        <w:spacing w:after="60" w:line="312" w:lineRule="auto"/>
      </w:pPr>
      <w:r>
        <w:rPr>
          <w:rFonts w:ascii="Arial" w:hAnsi="Arial"/>
          <w:b w:val="0"/>
          <w:color w:val="3A4047"/>
          <w:sz w:val="22"/>
        </w:rPr>
        <w:t>Project-specific SWMS, AS/NZS and NCC documentation provided</w:t>
      </w:r>
    </w:p>
    <w:p>
      <w:pPr>
        <w:pStyle w:val="ListBullet"/>
        <w:spacing w:after="60" w:line="312" w:lineRule="auto"/>
      </w:pPr>
      <w:r>
        <w:rPr>
          <w:rFonts w:ascii="Arial" w:hAnsi="Arial"/>
          <w:b w:val="0"/>
          <w:color w:val="3A4047"/>
          <w:sz w:val="22"/>
        </w:rPr>
        <w:t>Programme-aligned sequencing for institutional and commercial builds</w:t>
      </w:r>
    </w:p>
    <w:p>
      <w:r>
        <w:br w:type="page"/>
      </w:r>
    </w:p>
    <w:p>
      <w:pPr>
        <w:spacing w:after="80"/>
      </w:pPr>
      <w:r>
        <w:rPr>
          <w:rFonts w:ascii="Arial" w:hAnsi="Arial"/>
          <w:b/>
          <w:color w:val="E87722"/>
          <w:sz w:val="16"/>
          <w:spacing w:val="60"/>
        </w:rPr>
        <w:t>02 · ABOUT NOVA JONES</w:t>
      </w:r>
    </w:p>
    <w:p>
      <w:pPr>
        <w:spacing w:before="160" w:after="220"/>
      </w:pPr>
      <w:r>
        <w:rPr>
          <w:rFonts w:ascii="Arial" w:hAnsi="Arial"/>
          <w:b/>
          <w:color w:val="15181B"/>
          <w:sz w:val="40"/>
        </w:rPr>
        <w:t>External Cladding specialists — built for medium-density, institutional and commercial delivery.</w:t>
      </w:r>
    </w:p>
    <w:p>
      <w:pPr>
        <w:spacing w:line="348" w:lineRule="auto" w:after="140"/>
      </w:pPr>
      <w:r>
        <w:rPr>
          <w:rFonts w:ascii="Arial" w:hAnsi="Arial"/>
          <w:b w:val="0"/>
          <w:color w:val="3A4047"/>
          <w:sz w:val="22"/>
        </w:rPr>
        <w:t>Nova Jones is a Victorian-based External Cladding contractor specialising in the supply and installation of external wall systems — Fibre Cement, Hardie Gravis AAC, Hebel AAC, Composite, Metal Cladding, Render and Architectural Mouldings — for medium-density, institutional and commercial projects across Victoria.</w:t>
      </w:r>
    </w:p>
    <w:p>
      <w:pPr>
        <w:spacing w:line="348" w:lineRule="auto" w:after="140"/>
      </w:pPr>
      <w:r>
        <w:rPr>
          <w:rFonts w:ascii="Arial" w:hAnsi="Arial"/>
          <w:b w:val="0"/>
          <w:color w:val="3A4047"/>
          <w:sz w:val="22"/>
        </w:rPr>
        <w:t>We deliver fully managed External Cladding packages for builders operating in regulated, programme-sensitive sectors — townhouses and medium-density apartments, childcare, schools, aged care, medical facilities, multi-residential, mixed-use developments and commercial precincts — where compliance, sequencing and finish quality are non-negotiable.</w:t>
      </w:r>
    </w:p>
    <w:p>
      <w:pPr>
        <w:spacing w:line="348" w:lineRule="auto" w:after="140"/>
      </w:pPr>
      <w:r>
        <w:rPr>
          <w:rFonts w:ascii="Arial" w:hAnsi="Arial"/>
          <w:b w:val="0"/>
          <w:color w:val="3A4047"/>
          <w:sz w:val="22"/>
        </w:rPr>
        <w:t>Operating across metropolitan Melbourne and regional Victoria, Nova Jones provides practical, buildable solutions backed by experienced installers, dedicated project management and a single point of accountability from procurement through to handover.</w:t>
      </w:r>
    </w:p>
    <w:p>
      <w:pPr>
        <w:spacing w:before="160" w:after="200"/>
        <w:pBdr>
          <w:bottom w:val="single" w:sz="18" w:color="E87722" w:space="1"/>
        </w:pBdr>
      </w:pPr>
    </w:p>
    <w:p>
      <w:pPr>
        <w:spacing w:before="320" w:after="160"/>
      </w:pPr>
      <w:r>
        <w:rPr>
          <w:rFonts w:ascii="Arial" w:hAnsi="Arial"/>
          <w:b/>
          <w:color w:val="15181B"/>
          <w:sz w:val="28"/>
        </w:rPr>
        <w:t>Tailored for builders who can't afford delays.</w:t>
      </w:r>
    </w:p>
    <w:p>
      <w:pPr>
        <w:spacing w:line="348" w:lineRule="auto" w:after="140"/>
      </w:pPr>
      <w:r>
        <w:rPr>
          <w:rFonts w:ascii="Arial" w:hAnsi="Arial"/>
          <w:b w:val="0"/>
          <w:color w:val="3A4047"/>
          <w:sz w:val="22"/>
        </w:rPr>
        <w:t>Institutional and commercial External Cladding work demands more than trade skill. It demands programme discipline, compliance literacy, manufacturer-specification adherence, safety leadership at heights and clean coordination with adjacent trades. Nova Jones is built around those requirements.</w:t>
      </w:r>
    </w:p>
    <w:p>
      <w:pPr>
        <w:spacing w:line="348" w:lineRule="auto" w:after="140"/>
      </w:pPr>
      <w:r>
        <w:rPr>
          <w:rFonts w:ascii="Arial" w:hAnsi="Arial"/>
          <w:b w:val="0"/>
          <w:color w:val="3A4047"/>
          <w:sz w:val="22"/>
        </w:rPr>
        <w:t>Whether you are constructing a new childcare centre, a 50-bed aged care extension, a school refurbishment, a medical precinct or a four-storey mixed-use development, our supply-and-install model is structured to keep your programme on track and your External Cladding compliance documentation complete.</w:t>
      </w:r>
    </w:p>
    <w:p>
      <w:r>
        <w:br w:type="page"/>
      </w:r>
    </w:p>
    <w:p>
      <w:pPr>
        <w:spacing w:after="80"/>
      </w:pPr>
      <w:r>
        <w:rPr>
          <w:rFonts w:ascii="Arial" w:hAnsi="Arial"/>
          <w:b/>
          <w:color w:val="E87722"/>
          <w:sz w:val="16"/>
          <w:spacing w:val="60"/>
        </w:rPr>
        <w:t>03 · SECTORS WE SERVE</w:t>
      </w:r>
    </w:p>
    <w:p>
      <w:pPr>
        <w:spacing w:before="160" w:after="220"/>
      </w:pPr>
      <w:r>
        <w:rPr>
          <w:rFonts w:ascii="Arial" w:hAnsi="Arial"/>
          <w:b/>
          <w:color w:val="15181B"/>
          <w:sz w:val="40"/>
        </w:rPr>
        <w:t>Where Nova Jones delivers.</w:t>
      </w:r>
    </w:p>
    <w:p>
      <w:pPr>
        <w:spacing w:line="348" w:lineRule="auto" w:after="140"/>
      </w:pPr>
      <w:r>
        <w:rPr>
          <w:rFonts w:ascii="Arial" w:hAnsi="Arial"/>
          <w:b w:val="0"/>
          <w:color w:val="3A4047"/>
          <w:sz w:val="22"/>
        </w:rPr>
        <w:t>Most of what Nova Jones delivers is medium-density and institutional/commercial — sectors where our crews, systems and documentation are tailored for the unique requirements of regulated construction.</w:t>
      </w:r>
    </w:p>
    <w:tbl>
      <w:tblPr>
        <w:tblW w:type="auto" w:w="0"/>
        <w:tblLook w:firstColumn="1" w:firstRow="1" w:lastColumn="0" w:lastRow="0" w:noHBand="0" w:noVBand="1" w:val="04A0"/>
      </w:tblPr>
      <w:tblGrid>
        <w:gridCol w:w="4703"/>
        <w:gridCol w:w="4703"/>
      </w:tblGrid>
      <w:tr>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Medium-Density Residential</w:t>
            </w:r>
          </w:p>
          <w:p>
            <w:pPr>
              <w:spacing w:after="0" w:line="324" w:lineRule="auto"/>
            </w:pPr>
            <w:r>
              <w:rPr>
                <w:rFonts w:ascii="Arial" w:hAnsi="Arial"/>
                <w:b w:val="0"/>
                <w:color w:val="3A4047"/>
                <w:sz w:val="18"/>
              </w:rPr>
              <w:t>Townhouses, walk-up apartments and multi-residential infill — full External Cladding scope from framing interface to final render coat.</w:t>
            </w:r>
          </w:p>
        </w:tc>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Townhouse Developments</w:t>
            </w:r>
          </w:p>
          <w:p>
            <w:pPr>
              <w:spacing w:after="0" w:line="324" w:lineRule="auto"/>
            </w:pPr>
            <w:r>
              <w:rPr>
                <w:rFonts w:ascii="Arial" w:hAnsi="Arial"/>
                <w:b w:val="0"/>
                <w:color w:val="3A4047"/>
                <w:sz w:val="18"/>
              </w:rPr>
              <w:t>Medium-density estates and volume townhouse programmes. Fibre Cement, Hardie Gravis AAC and render at estate scale.</w:t>
            </w:r>
          </w:p>
        </w:tc>
      </w:tr>
      <w:tr>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Apartments &amp; Multi-Res</w:t>
            </w:r>
          </w:p>
          <w:p>
            <w:pPr>
              <w:spacing w:after="0" w:line="324" w:lineRule="auto"/>
            </w:pPr>
            <w:r>
              <w:rPr>
                <w:rFonts w:ascii="Arial" w:hAnsi="Arial"/>
                <w:b w:val="0"/>
                <w:color w:val="3A4047"/>
                <w:sz w:val="18"/>
              </w:rPr>
              <w:t>Two-to-six-storey apartment buildings. Intertenancy walls, acoustic and fire-rated assemblies, render-ready AAC façades.</w:t>
            </w:r>
          </w:p>
        </w:tc>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Childcare Centres</w:t>
            </w:r>
          </w:p>
          <w:p>
            <w:pPr>
              <w:spacing w:after="0" w:line="324" w:lineRule="auto"/>
            </w:pPr>
            <w:r>
              <w:rPr>
                <w:rFonts w:ascii="Arial" w:hAnsi="Arial"/>
                <w:b w:val="0"/>
                <w:color w:val="3A4047"/>
                <w:sz w:val="18"/>
              </w:rPr>
              <w:t>Durable, low-maintenance External Cladding for high-traffic early-learning environments. Composite and Fibre Cement in feature colours.</w:t>
            </w:r>
          </w:p>
        </w:tc>
      </w:tr>
      <w:tr>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Schools &amp; Education</w:t>
            </w:r>
          </w:p>
          <w:p>
            <w:pPr>
              <w:spacing w:after="0" w:line="324" w:lineRule="auto"/>
            </w:pPr>
            <w:r>
              <w:rPr>
                <w:rFonts w:ascii="Arial" w:hAnsi="Arial"/>
                <w:b w:val="0"/>
                <w:color w:val="3A4047"/>
                <w:sz w:val="18"/>
              </w:rPr>
              <w:t>Robust External Cladding packages for primary, secondary and tertiary facilities. Long service life, NCC-compliant systems.</w:t>
            </w:r>
          </w:p>
        </w:tc>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Aged Care Facilities</w:t>
            </w:r>
          </w:p>
          <w:p>
            <w:pPr>
              <w:spacing w:after="0" w:line="324" w:lineRule="auto"/>
            </w:pPr>
            <w:r>
              <w:rPr>
                <w:rFonts w:ascii="Arial" w:hAnsi="Arial"/>
                <w:b w:val="0"/>
                <w:color w:val="3A4047"/>
                <w:sz w:val="18"/>
              </w:rPr>
              <w:t>Acoustic and thermally efficient wall systems. Hardie Gravis AAC, Hebel and refined external render finishes.</w:t>
            </w:r>
          </w:p>
        </w:tc>
      </w:tr>
      <w:tr>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Medical Centres</w:t>
            </w:r>
          </w:p>
          <w:p>
            <w:pPr>
              <w:spacing w:after="0" w:line="324" w:lineRule="auto"/>
            </w:pPr>
            <w:r>
              <w:rPr>
                <w:rFonts w:ascii="Arial" w:hAnsi="Arial"/>
                <w:b w:val="0"/>
                <w:color w:val="3A4047"/>
                <w:sz w:val="18"/>
              </w:rPr>
              <w:t>Hygienic, compliant, durable External Cladding for day-surgery clinics, medical centres and health precincts.</w:t>
            </w:r>
          </w:p>
        </w:tc>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Commercial &amp; Mixed-Use</w:t>
            </w:r>
          </w:p>
          <w:p>
            <w:pPr>
              <w:spacing w:after="0" w:line="324" w:lineRule="auto"/>
            </w:pPr>
            <w:r>
              <w:rPr>
                <w:rFonts w:ascii="Arial" w:hAnsi="Arial"/>
                <w:b w:val="0"/>
                <w:color w:val="3A4047"/>
                <w:sz w:val="18"/>
              </w:rPr>
              <w:t>Office, retail and mixed-use developments. Render-ready Hardie Gravis AAC, panelised Fibre Cement and architectural detailing.</w:t>
            </w:r>
          </w:p>
        </w:tc>
      </w:tr>
    </w:tbl>
    <w:p>
      <w:r>
        <w:br w:type="page"/>
      </w:r>
    </w:p>
    <w:p>
      <w:pPr>
        <w:spacing w:after="80"/>
      </w:pPr>
      <w:r>
        <w:rPr>
          <w:rFonts w:ascii="Arial" w:hAnsi="Arial"/>
          <w:b/>
          <w:color w:val="E87722"/>
          <w:sz w:val="16"/>
          <w:spacing w:val="60"/>
        </w:rPr>
        <w:t>04 · AUTHORISED SUPPLY PARTNERS</w:t>
      </w:r>
    </w:p>
    <w:p>
      <w:pPr>
        <w:spacing w:before="160" w:after="220"/>
      </w:pPr>
      <w:r>
        <w:rPr>
          <w:rFonts w:ascii="Arial" w:hAnsi="Arial"/>
          <w:b/>
          <w:color w:val="15181B"/>
          <w:sz w:val="40"/>
        </w:rPr>
        <w:t>Australia's leading External Cladding manufacturers.</w:t>
      </w:r>
    </w:p>
    <w:p>
      <w:pPr>
        <w:spacing w:line="348" w:lineRule="auto" w:after="140"/>
      </w:pPr>
      <w:r>
        <w:rPr>
          <w:rFonts w:ascii="Arial" w:hAnsi="Arial"/>
          <w:b w:val="0"/>
          <w:color w:val="3A4047"/>
          <w:sz w:val="22"/>
        </w:rPr>
        <w:t>Nova Jones is an authorised supplier and installer for the major Australian External Cladding, AAC, render and architectural moulding manufacturers. This breadth of supply means we can match the right system to the right project — and source it through manufacturer-direct channels.</w:t>
      </w:r>
    </w:p>
    <w:tbl>
      <w:tblPr>
        <w:tblW w:type="auto" w:w="0"/>
        <w:tblLook w:firstColumn="1" w:firstRow="1" w:lastColumn="0" w:lastRow="0" w:noHBand="0" w:noVBand="1" w:val="04A0"/>
      </w:tblPr>
      <w:tblGrid>
        <w:gridCol w:w="3135"/>
        <w:gridCol w:w="3135"/>
        <w:gridCol w:w="3135"/>
      </w:tblGrid>
      <w:tr>
        <w:tc>
          <w:tcPr>
            <w:tcW w:type="dxa" w:w="3135"/>
            <w:tcBorders>
              <w:top w:val="single" w:sz="18" w:color="E87722"/>
              <w:left w:val="single" w:sz="6" w:color="D8DBDF"/>
              <w:bottom w:val="single" w:sz="6" w:color="D8DBDF"/>
              <w:right w:val="single" w:sz="6" w:color="D8DBDF"/>
            </w:tcBorders>
            <w:vAlign w:val="top"/>
          </w:tcPr>
          <w:p>
            <w:pPr>
              <w:spacing w:after="80"/>
            </w:pPr>
            <w:r/>
            <w:r>
              <w:rPr>
                <w:rFonts w:ascii="Arial" w:hAnsi="Arial"/>
                <w:b/>
                <w:color w:val="8B9099"/>
                <w:sz w:val="14"/>
                <w:spacing w:val="60"/>
              </w:rPr>
              <w:t>EXTERNAL CLADDING &amp; AAC</w:t>
            </w:r>
          </w:p>
          <w:p>
            <w:pPr>
              <w:spacing w:after="80"/>
            </w:pPr>
            <w:r>
              <w:rPr>
                <w:rFonts w:ascii="Arial" w:hAnsi="Arial"/>
                <w:b/>
                <w:color w:val="15181B"/>
                <w:sz w:val="26"/>
              </w:rPr>
              <w:t>James Hardie</w:t>
            </w:r>
          </w:p>
          <w:p>
            <w:pPr>
              <w:spacing w:after="0" w:line="312" w:lineRule="auto"/>
            </w:pPr>
            <w:r>
              <w:rPr>
                <w:rFonts w:ascii="Arial" w:hAnsi="Arial"/>
                <w:b w:val="0"/>
                <w:color w:val="3A4047"/>
                <w:sz w:val="16"/>
              </w:rPr>
              <w:t>Hardie Gravis AAC · Fibre Cement</w:t>
            </w:r>
          </w:p>
        </w:tc>
        <w:tc>
          <w:tcPr>
            <w:tcW w:type="dxa" w:w="3135"/>
            <w:tcBorders>
              <w:top w:val="single" w:sz="18" w:color="E87722"/>
              <w:left w:val="single" w:sz="6" w:color="D8DBDF"/>
              <w:bottom w:val="single" w:sz="6" w:color="D8DBDF"/>
              <w:right w:val="single" w:sz="6" w:color="D8DBDF"/>
            </w:tcBorders>
            <w:vAlign w:val="top"/>
          </w:tcPr>
          <w:p>
            <w:pPr>
              <w:spacing w:after="80"/>
            </w:pPr>
            <w:r/>
            <w:r>
              <w:rPr>
                <w:rFonts w:ascii="Arial" w:hAnsi="Arial"/>
                <w:b/>
                <w:color w:val="8B9099"/>
                <w:sz w:val="14"/>
                <w:spacing w:val="60"/>
              </w:rPr>
              <w:t>FIBRE CEMENT</w:t>
            </w:r>
          </w:p>
          <w:p>
            <w:pPr>
              <w:spacing w:after="80"/>
            </w:pPr>
            <w:r>
              <w:rPr>
                <w:rFonts w:ascii="Arial" w:hAnsi="Arial"/>
                <w:b/>
                <w:color w:val="15181B"/>
                <w:sz w:val="26"/>
              </w:rPr>
              <w:t>CSR Cemintel</w:t>
            </w:r>
          </w:p>
          <w:p>
            <w:pPr>
              <w:spacing w:after="0" w:line="312" w:lineRule="auto"/>
            </w:pPr>
            <w:r>
              <w:rPr>
                <w:rFonts w:ascii="Arial" w:hAnsi="Arial"/>
                <w:b w:val="0"/>
                <w:color w:val="3A4047"/>
                <w:sz w:val="16"/>
              </w:rPr>
              <w:t>Territory · Surround · Barestone</w:t>
            </w:r>
          </w:p>
        </w:tc>
        <w:tc>
          <w:tcPr>
            <w:tcW w:type="dxa" w:w="3135"/>
            <w:tcBorders>
              <w:top w:val="single" w:sz="18" w:color="E87722"/>
              <w:left w:val="single" w:sz="6" w:color="D8DBDF"/>
              <w:bottom w:val="single" w:sz="6" w:color="D8DBDF"/>
              <w:right w:val="single" w:sz="6" w:color="D8DBDF"/>
            </w:tcBorders>
            <w:vAlign w:val="top"/>
          </w:tcPr>
          <w:p>
            <w:pPr>
              <w:spacing w:after="80"/>
            </w:pPr>
            <w:r/>
            <w:r>
              <w:rPr>
                <w:rFonts w:ascii="Arial" w:hAnsi="Arial"/>
                <w:b/>
                <w:color w:val="8B9099"/>
                <w:sz w:val="14"/>
                <w:spacing w:val="60"/>
              </w:rPr>
              <w:t>AAC</w:t>
            </w:r>
          </w:p>
          <w:p>
            <w:pPr>
              <w:spacing w:after="80"/>
            </w:pPr>
            <w:r>
              <w:rPr>
                <w:rFonts w:ascii="Arial" w:hAnsi="Arial"/>
                <w:b/>
                <w:color w:val="15181B"/>
                <w:sz w:val="26"/>
              </w:rPr>
              <w:t>CSR Hebel</w:t>
            </w:r>
          </w:p>
          <w:p>
            <w:pPr>
              <w:spacing w:after="0" w:line="312" w:lineRule="auto"/>
            </w:pPr>
            <w:r>
              <w:rPr>
                <w:rFonts w:ascii="Arial" w:hAnsi="Arial"/>
                <w:b w:val="0"/>
                <w:color w:val="3A4047"/>
                <w:sz w:val="16"/>
              </w:rPr>
              <w:t>AAC Panel Cladding</w:t>
            </w:r>
          </w:p>
        </w:tc>
      </w:tr>
      <w:tr>
        <w:tc>
          <w:tcPr>
            <w:tcW w:type="dxa" w:w="3135"/>
            <w:tcBorders>
              <w:top w:val="single" w:sz="18" w:color="E87722"/>
              <w:left w:val="single" w:sz="6" w:color="D8DBDF"/>
              <w:bottom w:val="single" w:sz="6" w:color="D8DBDF"/>
              <w:right w:val="single" w:sz="6" w:color="D8DBDF"/>
            </w:tcBorders>
            <w:vAlign w:val="top"/>
          </w:tcPr>
          <w:p>
            <w:pPr>
              <w:spacing w:after="80"/>
            </w:pPr>
            <w:r/>
            <w:r>
              <w:rPr>
                <w:rFonts w:ascii="Arial" w:hAnsi="Arial"/>
                <w:b/>
                <w:color w:val="8B9099"/>
                <w:sz w:val="14"/>
                <w:spacing w:val="60"/>
              </w:rPr>
              <w:t>FIBRE CEMENT</w:t>
            </w:r>
          </w:p>
          <w:p>
            <w:pPr>
              <w:spacing w:after="80"/>
            </w:pPr>
            <w:r>
              <w:rPr>
                <w:rFonts w:ascii="Arial" w:hAnsi="Arial"/>
                <w:b/>
                <w:color w:val="15181B"/>
                <w:sz w:val="26"/>
              </w:rPr>
              <w:t>BGC Innova</w:t>
            </w:r>
          </w:p>
          <w:p>
            <w:pPr>
              <w:spacing w:after="0" w:line="312" w:lineRule="auto"/>
            </w:pPr>
            <w:r>
              <w:rPr>
                <w:rFonts w:ascii="Arial" w:hAnsi="Arial"/>
                <w:b w:val="0"/>
                <w:color w:val="3A4047"/>
                <w:sz w:val="16"/>
              </w:rPr>
              <w:t>Stratum · Nuline · Duraplank · Montage</w:t>
            </w:r>
          </w:p>
        </w:tc>
        <w:tc>
          <w:tcPr>
            <w:tcW w:type="dxa" w:w="3135"/>
            <w:tcBorders>
              <w:top w:val="single" w:sz="18" w:color="E87722"/>
              <w:left w:val="single" w:sz="6" w:color="D8DBDF"/>
              <w:bottom w:val="single" w:sz="6" w:color="D8DBDF"/>
              <w:right w:val="single" w:sz="6" w:color="D8DBDF"/>
            </w:tcBorders>
            <w:vAlign w:val="top"/>
          </w:tcPr>
          <w:p>
            <w:pPr>
              <w:spacing w:after="80"/>
            </w:pPr>
            <w:r/>
            <w:r>
              <w:rPr>
                <w:rFonts w:ascii="Arial" w:hAnsi="Arial"/>
                <w:b/>
                <w:color w:val="8B9099"/>
                <w:sz w:val="14"/>
                <w:spacing w:val="60"/>
              </w:rPr>
              <w:t>TIMBER-BASED CLADDING</w:t>
            </w:r>
          </w:p>
          <w:p>
            <w:pPr>
              <w:spacing w:after="80"/>
            </w:pPr>
            <w:r>
              <w:rPr>
                <w:rFonts w:ascii="Arial" w:hAnsi="Arial"/>
                <w:b/>
                <w:color w:val="15181B"/>
                <w:sz w:val="26"/>
              </w:rPr>
              <w:t>Weathertex</w:t>
            </w:r>
          </w:p>
          <w:p>
            <w:pPr>
              <w:spacing w:after="0" w:line="312" w:lineRule="auto"/>
            </w:pPr>
            <w:r>
              <w:rPr>
                <w:rFonts w:ascii="Arial" w:hAnsi="Arial"/>
                <w:b w:val="0"/>
                <w:color w:val="3A4047"/>
                <w:sz w:val="16"/>
              </w:rPr>
              <w:t>Weathergroove · Rubix · Selflok · Primelok</w:t>
            </w:r>
          </w:p>
        </w:tc>
        <w:tc>
          <w:tcPr>
            <w:tcW w:type="dxa" w:w="3135"/>
            <w:tcBorders>
              <w:top w:val="single" w:sz="18" w:color="E87722"/>
              <w:left w:val="single" w:sz="6" w:color="D8DBDF"/>
              <w:bottom w:val="single" w:sz="6" w:color="D8DBDF"/>
              <w:right w:val="single" w:sz="6" w:color="D8DBDF"/>
            </w:tcBorders>
            <w:vAlign w:val="top"/>
          </w:tcPr>
          <w:p>
            <w:pPr>
              <w:spacing w:after="80"/>
            </w:pPr>
            <w:r/>
            <w:r>
              <w:rPr>
                <w:rFonts w:ascii="Arial" w:hAnsi="Arial"/>
                <w:b/>
                <w:color w:val="8B9099"/>
                <w:sz w:val="14"/>
                <w:spacing w:val="60"/>
              </w:rPr>
              <w:t>RENDER</w:t>
            </w:r>
          </w:p>
          <w:p>
            <w:pPr>
              <w:spacing w:after="80"/>
            </w:pPr>
            <w:r>
              <w:rPr>
                <w:rFonts w:ascii="Arial" w:hAnsi="Arial"/>
                <w:b/>
                <w:color w:val="15181B"/>
                <w:sz w:val="26"/>
              </w:rPr>
              <w:t>Dulux Acratex</w:t>
            </w:r>
          </w:p>
          <w:p>
            <w:pPr>
              <w:spacing w:after="0" w:line="312" w:lineRule="auto"/>
            </w:pPr>
            <w:r>
              <w:rPr>
                <w:rFonts w:ascii="Arial" w:hAnsi="Arial"/>
                <w:b w:val="0"/>
                <w:color w:val="3A4047"/>
                <w:sz w:val="16"/>
              </w:rPr>
              <w:t>Render &amp; Texture Coatings</w:t>
            </w:r>
          </w:p>
        </w:tc>
      </w:tr>
      <w:tr>
        <w:tc>
          <w:tcPr>
            <w:tcW w:type="dxa" w:w="3135"/>
            <w:tcBorders>
              <w:top w:val="single" w:sz="18" w:color="E87722"/>
              <w:left w:val="single" w:sz="6" w:color="D8DBDF"/>
              <w:bottom w:val="single" w:sz="6" w:color="D8DBDF"/>
              <w:right w:val="single" w:sz="6" w:color="D8DBDF"/>
            </w:tcBorders>
            <w:vAlign w:val="top"/>
          </w:tcPr>
          <w:p>
            <w:pPr>
              <w:spacing w:after="80"/>
            </w:pPr>
            <w:r/>
            <w:r>
              <w:rPr>
                <w:rFonts w:ascii="Arial" w:hAnsi="Arial"/>
                <w:b/>
                <w:color w:val="8B9099"/>
                <w:sz w:val="14"/>
                <w:spacing w:val="60"/>
              </w:rPr>
              <w:t>CLADDING &amp; MOULDINGS</w:t>
            </w:r>
          </w:p>
          <w:p>
            <w:pPr>
              <w:spacing w:after="80"/>
            </w:pPr>
            <w:r>
              <w:rPr>
                <w:rFonts w:ascii="Arial" w:hAnsi="Arial"/>
                <w:b/>
                <w:color w:val="15181B"/>
                <w:sz w:val="26"/>
              </w:rPr>
              <w:t>Unitex</w:t>
            </w:r>
          </w:p>
          <w:p>
            <w:pPr>
              <w:spacing w:after="0" w:line="312" w:lineRule="auto"/>
            </w:pPr>
            <w:r>
              <w:rPr>
                <w:rFonts w:ascii="Arial" w:hAnsi="Arial"/>
                <w:b w:val="0"/>
                <w:color w:val="3A4047"/>
                <w:sz w:val="16"/>
              </w:rPr>
              <w:t>Uni-Base Board · Uni-Render · Uni-Shape</w:t>
            </w:r>
          </w:p>
        </w:tc>
        <w:tc>
          <w:tcPr>
            <w:tcW w:type="dxa" w:w="3135"/>
            <w:tcBorders>
              <w:top w:val="single" w:sz="18" w:color="E87722"/>
              <w:left w:val="single" w:sz="6" w:color="D8DBDF"/>
              <w:bottom w:val="single" w:sz="6" w:color="D8DBDF"/>
              <w:right w:val="single" w:sz="6" w:color="D8DBDF"/>
            </w:tcBorders>
            <w:vAlign w:val="top"/>
          </w:tcPr>
          <w:p>
            <w:pPr>
              <w:spacing w:after="80"/>
            </w:pPr>
            <w:r/>
            <w:r>
              <w:rPr>
                <w:rFonts w:ascii="Arial" w:hAnsi="Arial"/>
                <w:b/>
                <w:color w:val="8B9099"/>
                <w:sz w:val="14"/>
                <w:spacing w:val="60"/>
              </w:rPr>
              <w:t>RENDER</w:t>
            </w:r>
          </w:p>
          <w:p>
            <w:pPr>
              <w:spacing w:after="80"/>
            </w:pPr>
            <w:r>
              <w:rPr>
                <w:rFonts w:ascii="Arial" w:hAnsi="Arial"/>
                <w:b/>
                <w:color w:val="15181B"/>
                <w:sz w:val="26"/>
              </w:rPr>
              <w:t>Rockcote</w:t>
            </w:r>
          </w:p>
          <w:p>
            <w:pPr>
              <w:spacing w:after="0" w:line="312" w:lineRule="auto"/>
            </w:pPr>
            <w:r>
              <w:rPr>
                <w:rFonts w:ascii="Arial" w:hAnsi="Arial"/>
                <w:b w:val="0"/>
                <w:color w:val="3A4047"/>
                <w:sz w:val="16"/>
              </w:rPr>
              <w:t>Texture · Render · Cladding Systems</w:t>
            </w:r>
          </w:p>
        </w:tc>
        <w:tc>
          <w:tcPr>
            <w:tcW w:type="dxa" w:w="3135"/>
            <w:tcBorders>
              <w:top w:val="single" w:sz="18" w:color="E87722"/>
              <w:left w:val="single" w:sz="6" w:color="D8DBDF"/>
              <w:bottom w:val="single" w:sz="6" w:color="D8DBDF"/>
              <w:right w:val="single" w:sz="6" w:color="D8DBDF"/>
            </w:tcBorders>
            <w:vAlign w:val="top"/>
          </w:tcPr>
          <w:p>
            <w:pPr>
              <w:spacing w:after="80"/>
            </w:pPr>
            <w:r/>
            <w:r>
              <w:rPr>
                <w:rFonts w:ascii="Arial" w:hAnsi="Arial"/>
                <w:b/>
                <w:color w:val="8B9099"/>
                <w:sz w:val="14"/>
                <w:spacing w:val="60"/>
              </w:rPr>
              <w:t>INSULATED CLADDING</w:t>
            </w:r>
          </w:p>
          <w:p>
            <w:pPr>
              <w:spacing w:after="80"/>
            </w:pPr>
            <w:r>
              <w:rPr>
                <w:rFonts w:ascii="Arial" w:hAnsi="Arial"/>
                <w:b/>
                <w:color w:val="15181B"/>
                <w:sz w:val="26"/>
              </w:rPr>
              <w:t>Master Wall</w:t>
            </w:r>
          </w:p>
          <w:p>
            <w:pPr>
              <w:spacing w:after="0" w:line="312" w:lineRule="auto"/>
            </w:pPr>
            <w:r>
              <w:rPr>
                <w:rFonts w:ascii="Arial" w:hAnsi="Arial"/>
                <w:b w:val="0"/>
                <w:color w:val="3A4047"/>
                <w:sz w:val="16"/>
              </w:rPr>
              <w:t>M-Series · X-Series · M-TEX · Matrixx</w:t>
            </w:r>
          </w:p>
        </w:tc>
      </w:tr>
    </w:tbl>
    <w:p>
      <w:pPr>
        <w:spacing w:after="160"/>
      </w:pPr>
    </w:p>
    <w:p>
      <w:pPr>
        <w:spacing w:before="220" w:after="100"/>
      </w:pPr>
      <w:r>
        <w:rPr>
          <w:rFonts w:ascii="Arial" w:hAnsi="Arial"/>
          <w:b/>
          <w:color w:val="15181B"/>
          <w:sz w:val="22"/>
        </w:rPr>
        <w:t>Plus integration partners</w:t>
      </w:r>
    </w:p>
    <w:p>
      <w:pPr>
        <w:spacing w:line="348" w:lineRule="auto" w:after="140"/>
      </w:pPr>
      <w:r>
        <w:rPr>
          <w:rFonts w:ascii="Arial" w:hAnsi="Arial"/>
          <w:b w:val="0"/>
          <w:color w:val="3A4047"/>
          <w:sz w:val="22"/>
        </w:rPr>
        <w:t>DecoClad and DecoBattens (composite cladding profiles) · Austral &amp; Brickworks (masonry integration) · Polystyrene Building Supplies, Austech EPS, JPS Mouldings and EzyStrut (architectural mouldings) · Taubmans and Wattyl (render finishes).</w:t>
      </w:r>
    </w:p>
    <w:p>
      <w:r>
        <w:br w:type="page"/>
      </w:r>
    </w:p>
    <w:p>
      <w:pPr>
        <w:spacing w:after="80"/>
      </w:pPr>
      <w:r>
        <w:rPr>
          <w:rFonts w:ascii="Arial" w:hAnsi="Arial"/>
          <w:b/>
          <w:color w:val="E87722"/>
          <w:sz w:val="16"/>
          <w:spacing w:val="60"/>
        </w:rPr>
        <w:t>05 · CAPABILITY · EXTERNAL CLADDING</w:t>
      </w:r>
    </w:p>
    <w:p>
      <w:pPr>
        <w:spacing w:before="160" w:after="220"/>
      </w:pPr>
      <w:r>
        <w:rPr>
          <w:rFonts w:ascii="Arial" w:hAnsi="Arial"/>
          <w:b/>
          <w:color w:val="15181B"/>
          <w:sz w:val="40"/>
        </w:rPr>
        <w:t>External Cladding systems.</w:t>
      </w:r>
    </w:p>
    <w:p>
      <w:pPr>
        <w:spacing w:line="348" w:lineRule="auto" w:after="140"/>
      </w:pPr>
      <w:r>
        <w:rPr>
          <w:rFonts w:ascii="Arial" w:hAnsi="Arial"/>
          <w:b w:val="0"/>
          <w:color w:val="3A4047"/>
          <w:sz w:val="22"/>
        </w:rPr>
        <w:t>Nova Jones supplies and installs premium External Cladding products sourced from Australia's leading manufacturers. Each system is selected against project compliance, programme and aesthetic requirements, with full manufacturer-specification adherence.</w:t>
      </w:r>
    </w:p>
    <w:p>
      <w:pPr>
        <w:spacing w:before="220" w:after="100"/>
      </w:pPr>
      <w:r>
        <w:rPr>
          <w:rFonts w:ascii="Arial" w:hAnsi="Arial"/>
          <w:b/>
          <w:color w:val="15181B"/>
          <w:sz w:val="22"/>
        </w:rPr>
        <w:t>Authorised supply partners</w:t>
      </w:r>
    </w:p>
    <w:p>
      <w:pPr>
        <w:pStyle w:val="ListBullet"/>
        <w:spacing w:after="60" w:line="312" w:lineRule="auto"/>
      </w:pPr>
      <w:r>
        <w:rPr>
          <w:rFonts w:ascii="Arial" w:hAnsi="Arial"/>
          <w:b w:val="0"/>
          <w:color w:val="3A4047"/>
          <w:sz w:val="22"/>
        </w:rPr>
        <w:t>James Hardie — Axon, Linea, Matrix, Stria, EasyLap Panel, Brushed Concrete, Fine Texture, Hardie Gravis AAC</w:t>
      </w:r>
    </w:p>
    <w:p>
      <w:pPr>
        <w:pStyle w:val="ListBullet"/>
        <w:spacing w:after="60" w:line="312" w:lineRule="auto"/>
      </w:pPr>
      <w:r>
        <w:rPr>
          <w:rFonts w:ascii="Arial" w:hAnsi="Arial"/>
          <w:b w:val="0"/>
          <w:color w:val="3A4047"/>
          <w:sz w:val="22"/>
        </w:rPr>
        <w:t>BGC Innova — Stratum, Nuline, Duraplank, Montage</w:t>
      </w:r>
    </w:p>
    <w:p>
      <w:pPr>
        <w:pStyle w:val="ListBullet"/>
        <w:spacing w:after="60" w:line="312" w:lineRule="auto"/>
      </w:pPr>
      <w:r>
        <w:rPr>
          <w:rFonts w:ascii="Arial" w:hAnsi="Arial"/>
          <w:b w:val="0"/>
          <w:color w:val="3A4047"/>
          <w:sz w:val="22"/>
        </w:rPr>
        <w:t>CSR Cemintel — Territory, Surround, Barestone</w:t>
      </w:r>
    </w:p>
    <w:p>
      <w:pPr>
        <w:pStyle w:val="ListBullet"/>
        <w:spacing w:after="60" w:line="312" w:lineRule="auto"/>
      </w:pPr>
      <w:r>
        <w:rPr>
          <w:rFonts w:ascii="Arial" w:hAnsi="Arial"/>
          <w:b w:val="0"/>
          <w:color w:val="3A4047"/>
          <w:sz w:val="22"/>
        </w:rPr>
        <w:t>Hebel — AAC panel cladding</w:t>
      </w:r>
    </w:p>
    <w:p>
      <w:pPr>
        <w:pStyle w:val="ListBullet"/>
        <w:spacing w:after="60" w:line="312" w:lineRule="auto"/>
      </w:pPr>
      <w:r>
        <w:rPr>
          <w:rFonts w:ascii="Arial" w:hAnsi="Arial"/>
          <w:b w:val="0"/>
          <w:color w:val="3A4047"/>
          <w:sz w:val="22"/>
        </w:rPr>
        <w:t>Weathertex — Weathergroove, Rubix Panel, Selflok, Primelok, Classic, Natural Range</w:t>
      </w:r>
    </w:p>
    <w:p>
      <w:pPr>
        <w:pStyle w:val="ListBullet"/>
        <w:spacing w:after="60" w:line="312" w:lineRule="auto"/>
      </w:pPr>
      <w:r>
        <w:rPr>
          <w:rFonts w:ascii="Arial" w:hAnsi="Arial"/>
          <w:b w:val="0"/>
          <w:color w:val="3A4047"/>
          <w:sz w:val="22"/>
        </w:rPr>
        <w:t>DecoClad and DecoBattens — composite cladding profiles</w:t>
      </w:r>
    </w:p>
    <w:p>
      <w:pPr>
        <w:pStyle w:val="ListBullet"/>
        <w:spacing w:after="60" w:line="312" w:lineRule="auto"/>
      </w:pPr>
      <w:r>
        <w:rPr>
          <w:rFonts w:ascii="Arial" w:hAnsi="Arial"/>
          <w:b w:val="0"/>
          <w:color w:val="3A4047"/>
          <w:sz w:val="22"/>
        </w:rPr>
        <w:t>Austral &amp; Brickworks — masonry integration</w:t>
      </w:r>
    </w:p>
    <w:p>
      <w:pPr>
        <w:spacing w:before="220" w:after="100"/>
      </w:pPr>
      <w:r>
        <w:rPr>
          <w:rFonts w:ascii="Arial" w:hAnsi="Arial"/>
          <w:b/>
          <w:color w:val="15181B"/>
          <w:sz w:val="22"/>
        </w:rPr>
        <w:t>Product categories</w:t>
      </w:r>
    </w:p>
    <w:p>
      <w:pPr>
        <w:pStyle w:val="ListBullet"/>
        <w:spacing w:after="60" w:line="312" w:lineRule="auto"/>
      </w:pPr>
      <w:r>
        <w:rPr>
          <w:rFonts w:ascii="Arial" w:hAnsi="Arial"/>
          <w:b w:val="0"/>
          <w:color w:val="3A4047"/>
          <w:sz w:val="22"/>
        </w:rPr>
        <w:t>Fibre Cement Cladding — workhorse external wall systems</w:t>
      </w:r>
    </w:p>
    <w:p>
      <w:pPr>
        <w:pStyle w:val="ListBullet"/>
        <w:spacing w:after="60" w:line="312" w:lineRule="auto"/>
      </w:pPr>
      <w:r>
        <w:rPr>
          <w:rFonts w:ascii="Arial" w:hAnsi="Arial"/>
          <w:b w:val="0"/>
          <w:color w:val="3A4047"/>
          <w:sz w:val="22"/>
        </w:rPr>
        <w:t>Hardie Gravis AAC — render-ready, steel-reinforced AAC panels</w:t>
      </w:r>
    </w:p>
    <w:p>
      <w:pPr>
        <w:pStyle w:val="ListBullet"/>
        <w:spacing w:after="60" w:line="312" w:lineRule="auto"/>
      </w:pPr>
      <w:r>
        <w:rPr>
          <w:rFonts w:ascii="Arial" w:hAnsi="Arial"/>
          <w:b w:val="0"/>
          <w:color w:val="3A4047"/>
          <w:sz w:val="22"/>
        </w:rPr>
        <w:t>Hebel AAC — lightweight masonry-look wall systems</w:t>
      </w:r>
    </w:p>
    <w:p>
      <w:pPr>
        <w:pStyle w:val="ListBullet"/>
        <w:spacing w:after="60" w:line="312" w:lineRule="auto"/>
      </w:pPr>
      <w:r>
        <w:rPr>
          <w:rFonts w:ascii="Arial" w:hAnsi="Arial"/>
          <w:b w:val="0"/>
          <w:color w:val="3A4047"/>
          <w:sz w:val="22"/>
        </w:rPr>
        <w:t>Metal Cladding — composite metal panel systems</w:t>
      </w:r>
    </w:p>
    <w:p>
      <w:pPr>
        <w:pStyle w:val="ListBullet"/>
        <w:spacing w:after="60" w:line="312" w:lineRule="auto"/>
      </w:pPr>
      <w:r>
        <w:rPr>
          <w:rFonts w:ascii="Arial" w:hAnsi="Arial"/>
          <w:b w:val="0"/>
          <w:color w:val="3A4047"/>
          <w:sz w:val="22"/>
        </w:rPr>
        <w:t>Composite Cladding — DecoClad, DecoBattens, engineered profiles</w:t>
      </w:r>
    </w:p>
    <w:p>
      <w:pPr>
        <w:pStyle w:val="ListBullet"/>
        <w:spacing w:after="60" w:line="312" w:lineRule="auto"/>
      </w:pPr>
      <w:r>
        <w:rPr>
          <w:rFonts w:ascii="Arial" w:hAnsi="Arial"/>
          <w:b w:val="0"/>
          <w:color w:val="3A4047"/>
          <w:sz w:val="22"/>
        </w:rPr>
        <w:t>Building Wrap &amp; Sarking — supplied with cladding scopes</w:t>
      </w:r>
    </w:p>
    <w:p>
      <w:r>
        <w:br w:type="page"/>
      </w:r>
    </w:p>
    <w:p>
      <w:pPr>
        <w:spacing w:after="80"/>
      </w:pPr>
      <w:r>
        <w:rPr>
          <w:rFonts w:ascii="Arial" w:hAnsi="Arial"/>
          <w:b/>
          <w:color w:val="E87722"/>
          <w:sz w:val="16"/>
          <w:spacing w:val="60"/>
        </w:rPr>
        <w:t>06 · CAPABILITY · ARCHITECTURAL MOULDINGS</w:t>
      </w:r>
    </w:p>
    <w:p>
      <w:pPr>
        <w:spacing w:before="160" w:after="220"/>
      </w:pPr>
      <w:r>
        <w:rPr>
          <w:rFonts w:ascii="Arial" w:hAnsi="Arial"/>
          <w:b/>
          <w:color w:val="15181B"/>
          <w:sz w:val="40"/>
        </w:rPr>
        <w:t>Architectural mouldings.</w:t>
      </w:r>
    </w:p>
    <w:p>
      <w:pPr>
        <w:spacing w:line="348" w:lineRule="auto" w:after="140"/>
      </w:pPr>
      <w:r>
        <w:rPr>
          <w:rFonts w:ascii="Arial" w:hAnsi="Arial"/>
          <w:b w:val="0"/>
          <w:color w:val="3A4047"/>
          <w:sz w:val="22"/>
        </w:rPr>
        <w:t>Lightweight exterior mouldings for both modern and heritage/French architectural styles. Nova Jones supplies and installs the full range of architectural profiles to complete a refined, considered façade.</w:t>
      </w:r>
    </w:p>
    <w:p>
      <w:pPr>
        <w:spacing w:before="220" w:after="100"/>
      </w:pPr>
      <w:r>
        <w:rPr>
          <w:rFonts w:ascii="Arial" w:hAnsi="Arial"/>
          <w:b/>
          <w:color w:val="15181B"/>
          <w:sz w:val="22"/>
        </w:rPr>
        <w:t>Mainstream Australian suppliers</w:t>
      </w:r>
    </w:p>
    <w:p>
      <w:pPr>
        <w:pStyle w:val="ListBullet"/>
        <w:spacing w:after="60" w:line="312" w:lineRule="auto"/>
      </w:pPr>
      <w:r>
        <w:rPr>
          <w:rFonts w:ascii="Arial" w:hAnsi="Arial"/>
          <w:b w:val="0"/>
          <w:color w:val="3A4047"/>
          <w:sz w:val="22"/>
        </w:rPr>
        <w:t>Unitex — Uni-EIFS, Uni-Décor, Uni-Shape Profiles &amp; Columns</w:t>
      </w:r>
    </w:p>
    <w:p>
      <w:pPr>
        <w:pStyle w:val="ListBullet"/>
        <w:spacing w:after="60" w:line="312" w:lineRule="auto"/>
      </w:pPr>
      <w:r>
        <w:rPr>
          <w:rFonts w:ascii="Arial" w:hAnsi="Arial"/>
          <w:b w:val="0"/>
          <w:color w:val="3A4047"/>
          <w:sz w:val="22"/>
        </w:rPr>
        <w:t>Master Wall — Matrixx Mouldings</w:t>
      </w:r>
    </w:p>
    <w:p>
      <w:pPr>
        <w:pStyle w:val="ListBullet"/>
        <w:spacing w:after="60" w:line="312" w:lineRule="auto"/>
      </w:pPr>
      <w:r>
        <w:rPr>
          <w:rFonts w:ascii="Arial" w:hAnsi="Arial"/>
          <w:b w:val="0"/>
          <w:color w:val="3A4047"/>
          <w:sz w:val="22"/>
        </w:rPr>
        <w:t>Polystyrene Building Supplies (PBS) — mouldings</w:t>
      </w:r>
    </w:p>
    <w:p>
      <w:pPr>
        <w:pStyle w:val="ListBullet"/>
        <w:spacing w:after="60" w:line="312" w:lineRule="auto"/>
      </w:pPr>
      <w:r>
        <w:rPr>
          <w:rFonts w:ascii="Arial" w:hAnsi="Arial"/>
          <w:b w:val="0"/>
          <w:color w:val="3A4047"/>
          <w:sz w:val="22"/>
        </w:rPr>
        <w:t>Austech EPS Systems</w:t>
      </w:r>
    </w:p>
    <w:p>
      <w:pPr>
        <w:pStyle w:val="ListBullet"/>
        <w:spacing w:after="60" w:line="312" w:lineRule="auto"/>
      </w:pPr>
      <w:r>
        <w:rPr>
          <w:rFonts w:ascii="Arial" w:hAnsi="Arial"/>
          <w:b w:val="0"/>
          <w:color w:val="3A4047"/>
          <w:sz w:val="22"/>
        </w:rPr>
        <w:t>JPS Mouldings</w:t>
      </w:r>
    </w:p>
    <w:p>
      <w:pPr>
        <w:pStyle w:val="ListBullet"/>
        <w:spacing w:after="60" w:line="312" w:lineRule="auto"/>
      </w:pPr>
      <w:r>
        <w:rPr>
          <w:rFonts w:ascii="Arial" w:hAnsi="Arial"/>
          <w:b w:val="0"/>
          <w:color w:val="3A4047"/>
          <w:sz w:val="22"/>
        </w:rPr>
        <w:t>EzyStrut — external trim products</w:t>
      </w:r>
    </w:p>
    <w:p>
      <w:pPr>
        <w:spacing w:before="220" w:after="100"/>
      </w:pPr>
      <w:r>
        <w:rPr>
          <w:rFonts w:ascii="Arial" w:hAnsi="Arial"/>
          <w:b/>
          <w:color w:val="15181B"/>
          <w:sz w:val="22"/>
        </w:rPr>
        <w:t>Profile capability</w:t>
      </w:r>
    </w:p>
    <w:p>
      <w:pPr>
        <w:pStyle w:val="ListBullet"/>
        <w:spacing w:after="60" w:line="312" w:lineRule="auto"/>
      </w:pPr>
      <w:r>
        <w:rPr>
          <w:rFonts w:ascii="Arial" w:hAnsi="Arial"/>
          <w:b w:val="0"/>
          <w:color w:val="3A4047"/>
          <w:sz w:val="22"/>
        </w:rPr>
        <w:t>Custom profiles to architectural specification</w:t>
      </w:r>
    </w:p>
    <w:p>
      <w:pPr>
        <w:pStyle w:val="ListBullet"/>
        <w:spacing w:after="60" w:line="312" w:lineRule="auto"/>
      </w:pPr>
      <w:r>
        <w:rPr>
          <w:rFonts w:ascii="Arial" w:hAnsi="Arial"/>
          <w:b w:val="0"/>
          <w:color w:val="3A4047"/>
          <w:sz w:val="22"/>
        </w:rPr>
        <w:t>Window and door surrounds</w:t>
      </w:r>
    </w:p>
    <w:p>
      <w:pPr>
        <w:pStyle w:val="ListBullet"/>
        <w:spacing w:after="60" w:line="312" w:lineRule="auto"/>
      </w:pPr>
      <w:r>
        <w:rPr>
          <w:rFonts w:ascii="Arial" w:hAnsi="Arial"/>
          <w:b w:val="0"/>
          <w:color w:val="3A4047"/>
          <w:sz w:val="22"/>
        </w:rPr>
        <w:t>Columns, bands and feature trims</w:t>
      </w:r>
    </w:p>
    <w:p>
      <w:pPr>
        <w:pStyle w:val="ListBullet"/>
        <w:spacing w:after="60" w:line="312" w:lineRule="auto"/>
      </w:pPr>
      <w:r>
        <w:rPr>
          <w:rFonts w:ascii="Arial" w:hAnsi="Arial"/>
          <w:b w:val="0"/>
          <w:color w:val="3A4047"/>
          <w:sz w:val="22"/>
        </w:rPr>
        <w:t>Decorative façade and parapet details</w:t>
      </w:r>
    </w:p>
    <w:p>
      <w:r>
        <w:br w:type="page"/>
      </w:r>
    </w:p>
    <w:p>
      <w:pPr>
        <w:spacing w:after="80"/>
      </w:pPr>
      <w:r>
        <w:rPr>
          <w:rFonts w:ascii="Arial" w:hAnsi="Arial"/>
          <w:b/>
          <w:color w:val="E87722"/>
          <w:sz w:val="16"/>
          <w:spacing w:val="60"/>
        </w:rPr>
        <w:t>07 · CAPABILITY · RENDERING &amp; TEXTURE</w:t>
      </w:r>
    </w:p>
    <w:p>
      <w:pPr>
        <w:spacing w:before="160" w:after="220"/>
      </w:pPr>
      <w:r>
        <w:rPr>
          <w:rFonts w:ascii="Arial" w:hAnsi="Arial"/>
          <w:b/>
          <w:color w:val="15181B"/>
          <w:sz w:val="40"/>
        </w:rPr>
        <w:t>Rendering &amp; texture finishes.</w:t>
      </w:r>
    </w:p>
    <w:p>
      <w:pPr>
        <w:spacing w:line="348" w:lineRule="auto" w:after="140"/>
      </w:pPr>
      <w:r>
        <w:rPr>
          <w:rFonts w:ascii="Arial" w:hAnsi="Arial"/>
          <w:b w:val="0"/>
          <w:color w:val="3A4047"/>
          <w:sz w:val="22"/>
        </w:rPr>
        <w:t>Nova Jones supplies and applies high-quality rendering systems, acrylic textures and protective coatings using products from major Australian brands. Render and texture work is delivered as a fully managed final-coat package, coordinated with the External Cladding scope.</w:t>
      </w:r>
    </w:p>
    <w:p>
      <w:pPr>
        <w:spacing w:before="220" w:after="100"/>
      </w:pPr>
      <w:r>
        <w:rPr>
          <w:rFonts w:ascii="Arial" w:hAnsi="Arial"/>
          <w:b/>
          <w:color w:val="15181B"/>
          <w:sz w:val="22"/>
        </w:rPr>
        <w:t>Render and texture systems</w:t>
      </w:r>
    </w:p>
    <w:p>
      <w:pPr>
        <w:pStyle w:val="ListBullet"/>
        <w:spacing w:after="60" w:line="312" w:lineRule="auto"/>
      </w:pPr>
      <w:r>
        <w:rPr>
          <w:rFonts w:ascii="Arial" w:hAnsi="Arial"/>
          <w:b w:val="0"/>
          <w:color w:val="3A4047"/>
          <w:sz w:val="22"/>
        </w:rPr>
        <w:t>Dulux Acratex — full render and texture coating range</w:t>
      </w:r>
    </w:p>
    <w:p>
      <w:pPr>
        <w:pStyle w:val="ListBullet"/>
        <w:spacing w:after="60" w:line="312" w:lineRule="auto"/>
      </w:pPr>
      <w:r>
        <w:rPr>
          <w:rFonts w:ascii="Arial" w:hAnsi="Arial"/>
          <w:b w:val="0"/>
          <w:color w:val="3A4047"/>
          <w:sz w:val="22"/>
        </w:rPr>
        <w:t>Unitex — Uni-Render, Uni-Trowel-On, Base Coat Renders, Textures &amp; Finishes</w:t>
      </w:r>
    </w:p>
    <w:p>
      <w:pPr>
        <w:pStyle w:val="ListBullet"/>
        <w:spacing w:after="60" w:line="312" w:lineRule="auto"/>
      </w:pPr>
      <w:r>
        <w:rPr>
          <w:rFonts w:ascii="Arial" w:hAnsi="Arial"/>
          <w:b w:val="0"/>
          <w:color w:val="3A4047"/>
          <w:sz w:val="22"/>
        </w:rPr>
        <w:t>Rockcote — texture coats, render and cladding systems</w:t>
      </w:r>
    </w:p>
    <w:p>
      <w:pPr>
        <w:pStyle w:val="ListBullet"/>
        <w:spacing w:after="60" w:line="312" w:lineRule="auto"/>
      </w:pPr>
      <w:r>
        <w:rPr>
          <w:rFonts w:ascii="Arial" w:hAnsi="Arial"/>
          <w:b w:val="0"/>
          <w:color w:val="3A4047"/>
          <w:sz w:val="22"/>
        </w:rPr>
        <w:t>CSR Hebel render systems</w:t>
      </w:r>
    </w:p>
    <w:p>
      <w:pPr>
        <w:pStyle w:val="ListBullet"/>
        <w:spacing w:after="60" w:line="312" w:lineRule="auto"/>
      </w:pPr>
      <w:r>
        <w:rPr>
          <w:rFonts w:ascii="Arial" w:hAnsi="Arial"/>
          <w:b w:val="0"/>
          <w:color w:val="3A4047"/>
          <w:sz w:val="22"/>
        </w:rPr>
        <w:t>Master Wall — M-TEX renders and finishes</w:t>
      </w:r>
    </w:p>
    <w:p>
      <w:pPr>
        <w:pStyle w:val="ListBullet"/>
        <w:spacing w:after="60" w:line="312" w:lineRule="auto"/>
      </w:pPr>
      <w:r>
        <w:rPr>
          <w:rFonts w:ascii="Arial" w:hAnsi="Arial"/>
          <w:b w:val="0"/>
          <w:color w:val="3A4047"/>
          <w:sz w:val="22"/>
        </w:rPr>
        <w:t>Taubmans and Wattyl finishes</w:t>
      </w:r>
    </w:p>
    <w:p>
      <w:pPr>
        <w:spacing w:before="220" w:after="100"/>
      </w:pPr>
      <w:r>
        <w:rPr>
          <w:rFonts w:ascii="Arial" w:hAnsi="Arial"/>
          <w:b/>
          <w:color w:val="15181B"/>
          <w:sz w:val="22"/>
        </w:rPr>
        <w:t>Services</w:t>
      </w:r>
    </w:p>
    <w:p>
      <w:pPr>
        <w:pStyle w:val="ListBullet"/>
        <w:spacing w:after="60" w:line="312" w:lineRule="auto"/>
      </w:pPr>
      <w:r>
        <w:rPr>
          <w:rFonts w:ascii="Arial" w:hAnsi="Arial"/>
          <w:b w:val="0"/>
          <w:color w:val="3A4047"/>
          <w:sz w:val="22"/>
        </w:rPr>
        <w:t>Acrylic and cement rendering</w:t>
      </w:r>
    </w:p>
    <w:p>
      <w:pPr>
        <w:pStyle w:val="ListBullet"/>
        <w:spacing w:after="60" w:line="312" w:lineRule="auto"/>
      </w:pPr>
      <w:r>
        <w:rPr>
          <w:rFonts w:ascii="Arial" w:hAnsi="Arial"/>
          <w:b w:val="0"/>
          <w:color w:val="3A4047"/>
          <w:sz w:val="22"/>
        </w:rPr>
        <w:t>Texture coating systems</w:t>
      </w:r>
    </w:p>
    <w:p>
      <w:pPr>
        <w:pStyle w:val="ListBullet"/>
        <w:spacing w:after="60" w:line="312" w:lineRule="auto"/>
      </w:pPr>
      <w:r>
        <w:rPr>
          <w:rFonts w:ascii="Arial" w:hAnsi="Arial"/>
          <w:b w:val="0"/>
          <w:color w:val="3A4047"/>
          <w:sz w:val="22"/>
        </w:rPr>
        <w:t>Lightweight cladding render solutions</w:t>
      </w:r>
    </w:p>
    <w:p>
      <w:pPr>
        <w:pStyle w:val="ListBullet"/>
        <w:spacing w:after="60" w:line="312" w:lineRule="auto"/>
      </w:pPr>
      <w:r>
        <w:rPr>
          <w:rFonts w:ascii="Arial" w:hAnsi="Arial"/>
          <w:b w:val="0"/>
          <w:color w:val="3A4047"/>
          <w:sz w:val="22"/>
        </w:rPr>
        <w:t>Full façade finishing packages</w:t>
      </w:r>
    </w:p>
    <w:p>
      <w:r>
        <w:br w:type="page"/>
      </w:r>
    </w:p>
    <w:p>
      <w:pPr>
        <w:spacing w:after="80"/>
      </w:pPr>
      <w:r>
        <w:rPr>
          <w:rFonts w:ascii="Arial" w:hAnsi="Arial"/>
          <w:b/>
          <w:color w:val="E87722"/>
          <w:sz w:val="16"/>
          <w:spacing w:val="60"/>
        </w:rPr>
        <w:t>08 · CAPABILITY · WALL SYSTEMS</w:t>
      </w:r>
    </w:p>
    <w:p>
      <w:pPr>
        <w:spacing w:before="160" w:after="220"/>
      </w:pPr>
      <w:r>
        <w:rPr>
          <w:rFonts w:ascii="Arial" w:hAnsi="Arial"/>
          <w:b/>
          <w:color w:val="15181B"/>
          <w:sz w:val="40"/>
        </w:rPr>
        <w:t>Wall systems.</w:t>
      </w:r>
    </w:p>
    <w:p>
      <w:pPr>
        <w:spacing w:line="348" w:lineRule="auto" w:after="140"/>
      </w:pPr>
      <w:r>
        <w:rPr>
          <w:rFonts w:ascii="Arial" w:hAnsi="Arial"/>
          <w:b w:val="0"/>
          <w:color w:val="3A4047"/>
          <w:sz w:val="22"/>
        </w:rPr>
        <w:t>Nova Jones supplies and installs lightweight and insulated wall systems for medium-density, institutional and commercial construction. Wall systems are delivered standalone or as part of an integrated External Cladding package.</w:t>
      </w:r>
    </w:p>
    <w:p>
      <w:pPr>
        <w:spacing w:before="220" w:after="100"/>
      </w:pPr>
      <w:r>
        <w:rPr>
          <w:rFonts w:ascii="Arial" w:hAnsi="Arial"/>
          <w:b/>
          <w:color w:val="15181B"/>
          <w:sz w:val="22"/>
        </w:rPr>
        <w:t>Systems we supply and install</w:t>
      </w:r>
    </w:p>
    <w:p>
      <w:pPr>
        <w:pStyle w:val="ListBullet"/>
        <w:spacing w:after="60" w:line="312" w:lineRule="auto"/>
      </w:pPr>
      <w:r>
        <w:rPr>
          <w:rFonts w:ascii="Arial" w:hAnsi="Arial"/>
          <w:b w:val="0"/>
          <w:color w:val="3A4047"/>
          <w:sz w:val="22"/>
        </w:rPr>
        <w:t>Hardie Gravis AAC panel systems — render-ready, steel-reinforced</w:t>
      </w:r>
    </w:p>
    <w:p>
      <w:pPr>
        <w:pStyle w:val="ListBullet"/>
        <w:spacing w:after="60" w:line="312" w:lineRule="auto"/>
      </w:pPr>
      <w:r>
        <w:rPr>
          <w:rFonts w:ascii="Arial" w:hAnsi="Arial"/>
          <w:b w:val="0"/>
          <w:color w:val="3A4047"/>
          <w:sz w:val="22"/>
        </w:rPr>
        <w:t>Hebel AAC panel systems — lightweight masonry-look walls</w:t>
      </w:r>
    </w:p>
    <w:p>
      <w:pPr>
        <w:pStyle w:val="ListBullet"/>
        <w:spacing w:after="60" w:line="312" w:lineRule="auto"/>
      </w:pPr>
      <w:r>
        <w:rPr>
          <w:rFonts w:ascii="Arial" w:hAnsi="Arial"/>
          <w:b w:val="0"/>
          <w:color w:val="3A4047"/>
          <w:sz w:val="22"/>
        </w:rPr>
        <w:t>Master Wall M-Series and X-Series insulated cladding systems</w:t>
      </w:r>
    </w:p>
    <w:p>
      <w:pPr>
        <w:pStyle w:val="ListBullet"/>
        <w:spacing w:after="60" w:line="312" w:lineRule="auto"/>
      </w:pPr>
      <w:r>
        <w:rPr>
          <w:rFonts w:ascii="Arial" w:hAnsi="Arial"/>
          <w:b w:val="0"/>
          <w:color w:val="3A4047"/>
          <w:sz w:val="22"/>
        </w:rPr>
        <w:t>Unitex Uni-Base Board (BAL 29 and BAL 40 systems)</w:t>
      </w:r>
    </w:p>
    <w:p>
      <w:pPr>
        <w:pStyle w:val="ListBullet"/>
        <w:spacing w:after="60" w:line="312" w:lineRule="auto"/>
      </w:pPr>
      <w:r>
        <w:rPr>
          <w:rFonts w:ascii="Arial" w:hAnsi="Arial"/>
          <w:b w:val="0"/>
          <w:color w:val="3A4047"/>
          <w:sz w:val="22"/>
        </w:rPr>
        <w:t>EIFS and EPS external cladding systems</w:t>
      </w:r>
    </w:p>
    <w:p>
      <w:pPr>
        <w:pStyle w:val="ListBullet"/>
        <w:spacing w:after="60" w:line="312" w:lineRule="auto"/>
      </w:pPr>
      <w:r>
        <w:rPr>
          <w:rFonts w:ascii="Arial" w:hAnsi="Arial"/>
          <w:b w:val="0"/>
          <w:color w:val="3A4047"/>
          <w:sz w:val="22"/>
        </w:rPr>
        <w:t>Fibre Cement and composite wall solutions</w:t>
      </w:r>
    </w:p>
    <w:p>
      <w:pPr>
        <w:pStyle w:val="ListBullet"/>
        <w:spacing w:after="60" w:line="312" w:lineRule="auto"/>
      </w:pPr>
      <w:r>
        <w:rPr>
          <w:rFonts w:ascii="Arial" w:hAnsi="Arial"/>
          <w:b w:val="0"/>
          <w:color w:val="3A4047"/>
          <w:sz w:val="22"/>
        </w:rPr>
        <w:t>Fire-rated and acoustic wall assemblies</w:t>
      </w:r>
    </w:p>
    <w:p>
      <w:pPr>
        <w:pStyle w:val="ListBullet"/>
        <w:spacing w:after="60" w:line="312" w:lineRule="auto"/>
      </w:pPr>
      <w:r>
        <w:rPr>
          <w:rFonts w:ascii="Arial" w:hAnsi="Arial"/>
          <w:b w:val="0"/>
          <w:color w:val="3A4047"/>
          <w:sz w:val="22"/>
        </w:rPr>
        <w:t>Building wrap and sarking supply</w:t>
      </w:r>
    </w:p>
    <w:p>
      <w:r>
        <w:br w:type="page"/>
      </w:r>
    </w:p>
    <w:p>
      <w:pPr>
        <w:spacing w:after="80"/>
      </w:pPr>
      <w:r>
        <w:rPr>
          <w:rFonts w:ascii="Arial" w:hAnsi="Arial"/>
          <w:b/>
          <w:color w:val="E87722"/>
          <w:sz w:val="16"/>
          <w:spacing w:val="60"/>
        </w:rPr>
        <w:t>09 · DELIVERY MODEL</w:t>
      </w:r>
    </w:p>
    <w:p>
      <w:pPr>
        <w:spacing w:before="160" w:after="220"/>
      </w:pPr>
      <w:r>
        <w:rPr>
          <w:rFonts w:ascii="Arial" w:hAnsi="Arial"/>
          <w:b/>
          <w:color w:val="15181B"/>
          <w:sz w:val="40"/>
        </w:rPr>
        <w:t>Single point of responsibility, end-to-end.</w:t>
      </w:r>
    </w:p>
    <w:p>
      <w:pPr>
        <w:spacing w:line="348" w:lineRule="auto" w:after="140"/>
      </w:pPr>
      <w:r>
        <w:rPr>
          <w:rFonts w:ascii="Arial" w:hAnsi="Arial"/>
          <w:b w:val="0"/>
          <w:color w:val="3A4047"/>
          <w:sz w:val="22"/>
        </w:rPr>
        <w:t>Nova Jones operates under a fully integrated supply-and-install model, providing builders with a single point of accountability for External Cladding works. This approach reduces trade interfaces, simplifies coordination and ensures continuity from material procurement through to installation and final handover.</w:t>
      </w:r>
    </w:p>
    <w:p>
      <w:pPr>
        <w:spacing w:before="220" w:after="100"/>
      </w:pPr>
      <w:r>
        <w:rPr>
          <w:rFonts w:ascii="Arial" w:hAnsi="Arial"/>
          <w:b/>
          <w:color w:val="15181B"/>
          <w:sz w:val="22"/>
        </w:rPr>
        <w:t>Each project includes</w:t>
      </w:r>
    </w:p>
    <w:p>
      <w:pPr>
        <w:pStyle w:val="ListBullet"/>
        <w:spacing w:after="60" w:line="312" w:lineRule="auto"/>
      </w:pPr>
      <w:r>
        <w:rPr>
          <w:rFonts w:ascii="Arial" w:hAnsi="Arial"/>
          <w:b w:val="0"/>
          <w:color w:val="3A4047"/>
          <w:sz w:val="22"/>
        </w:rPr>
        <w:t>Detailed scope review and take-offs</w:t>
      </w:r>
    </w:p>
    <w:p>
      <w:pPr>
        <w:pStyle w:val="ListBullet"/>
        <w:spacing w:after="60" w:line="312" w:lineRule="auto"/>
      </w:pPr>
      <w:r>
        <w:rPr>
          <w:rFonts w:ascii="Arial" w:hAnsi="Arial"/>
          <w:b w:val="0"/>
          <w:color w:val="3A4047"/>
          <w:sz w:val="22"/>
        </w:rPr>
        <w:t>Coordinated material procurement against the project programme</w:t>
      </w:r>
    </w:p>
    <w:p>
      <w:pPr>
        <w:pStyle w:val="ListBullet"/>
        <w:spacing w:after="60" w:line="312" w:lineRule="auto"/>
      </w:pPr>
      <w:r>
        <w:rPr>
          <w:rFonts w:ascii="Arial" w:hAnsi="Arial"/>
          <w:b w:val="0"/>
          <w:color w:val="3A4047"/>
          <w:sz w:val="22"/>
        </w:rPr>
        <w:t>Skilled, inducted installation teams</w:t>
      </w:r>
    </w:p>
    <w:p>
      <w:pPr>
        <w:pStyle w:val="ListBullet"/>
        <w:spacing w:after="60" w:line="312" w:lineRule="auto"/>
      </w:pPr>
      <w:r>
        <w:rPr>
          <w:rFonts w:ascii="Arial" w:hAnsi="Arial"/>
          <w:b w:val="0"/>
          <w:color w:val="3A4047"/>
          <w:sz w:val="22"/>
        </w:rPr>
        <w:t>A dedicated project manager</w:t>
      </w:r>
    </w:p>
    <w:p>
      <w:pPr>
        <w:pStyle w:val="ListBullet"/>
        <w:spacing w:after="60" w:line="312" w:lineRule="auto"/>
      </w:pPr>
      <w:r>
        <w:rPr>
          <w:rFonts w:ascii="Arial" w:hAnsi="Arial"/>
          <w:b w:val="0"/>
          <w:color w:val="3A4047"/>
          <w:sz w:val="22"/>
        </w:rPr>
        <w:t>Site coordination, sequencing and interface management</w:t>
      </w:r>
    </w:p>
    <w:p>
      <w:pPr>
        <w:pStyle w:val="ListBullet"/>
        <w:spacing w:after="60" w:line="312" w:lineRule="auto"/>
      </w:pPr>
      <w:r>
        <w:rPr>
          <w:rFonts w:ascii="Arial" w:hAnsi="Arial"/>
          <w:b w:val="0"/>
          <w:color w:val="3A4047"/>
          <w:sz w:val="22"/>
        </w:rPr>
        <w:t>Quality inspections and progressive stage sign-off</w:t>
      </w:r>
    </w:p>
    <w:p>
      <w:pPr>
        <w:pStyle w:val="ListBullet"/>
        <w:spacing w:after="60" w:line="312" w:lineRule="auto"/>
      </w:pPr>
      <w:r>
        <w:rPr>
          <w:rFonts w:ascii="Arial" w:hAnsi="Arial"/>
          <w:b w:val="0"/>
          <w:color w:val="3A4047"/>
          <w:sz w:val="22"/>
        </w:rPr>
        <w:t>Final defect closure and warranty documentation</w:t>
      </w:r>
    </w:p>
    <w:p>
      <w:pPr>
        <w:spacing w:before="220" w:after="100"/>
      </w:pPr>
      <w:r>
        <w:rPr>
          <w:rFonts w:ascii="Arial" w:hAnsi="Arial"/>
          <w:b/>
          <w:color w:val="15181B"/>
          <w:sz w:val="22"/>
        </w:rPr>
        <w:t>Benefits to the builder</w:t>
      </w:r>
    </w:p>
    <w:p>
      <w:pPr>
        <w:pStyle w:val="ListBullet"/>
        <w:spacing w:after="60" w:line="312" w:lineRule="auto"/>
      </w:pPr>
      <w:r>
        <w:rPr>
          <w:rFonts w:ascii="Arial" w:hAnsi="Arial"/>
          <w:b w:val="0"/>
          <w:color w:val="3A4047"/>
          <w:sz w:val="22"/>
        </w:rPr>
        <w:t>Reduced site risk through trade consolidation</w:t>
      </w:r>
    </w:p>
    <w:p>
      <w:pPr>
        <w:pStyle w:val="ListBullet"/>
        <w:spacing w:after="60" w:line="312" w:lineRule="auto"/>
      </w:pPr>
      <w:r>
        <w:rPr>
          <w:rFonts w:ascii="Arial" w:hAnsi="Arial"/>
          <w:b w:val="0"/>
          <w:color w:val="3A4047"/>
          <w:sz w:val="22"/>
        </w:rPr>
        <w:t>Improved build efficiency and programme adherence</w:t>
      </w:r>
    </w:p>
    <w:p>
      <w:pPr>
        <w:pStyle w:val="ListBullet"/>
        <w:spacing w:after="60" w:line="312" w:lineRule="auto"/>
      </w:pPr>
      <w:r>
        <w:rPr>
          <w:rFonts w:ascii="Arial" w:hAnsi="Arial"/>
          <w:b w:val="0"/>
          <w:color w:val="3A4047"/>
          <w:sz w:val="22"/>
        </w:rPr>
        <w:t>Consistent finish quality across the External Cladding</w:t>
      </w:r>
    </w:p>
    <w:p>
      <w:pPr>
        <w:pStyle w:val="ListBullet"/>
        <w:spacing w:after="60" w:line="312" w:lineRule="auto"/>
      </w:pPr>
      <w:r>
        <w:rPr>
          <w:rFonts w:ascii="Arial" w:hAnsi="Arial"/>
          <w:b w:val="0"/>
          <w:color w:val="3A4047"/>
          <w:sz w:val="22"/>
        </w:rPr>
        <w:t>Clear chain of accountability</w:t>
      </w:r>
    </w:p>
    <w:p>
      <w:r>
        <w:br w:type="page"/>
      </w:r>
    </w:p>
    <w:p>
      <w:pPr>
        <w:spacing w:after="80"/>
      </w:pPr>
      <w:r>
        <w:rPr>
          <w:rFonts w:ascii="Arial" w:hAnsi="Arial"/>
          <w:b/>
          <w:color w:val="E87722"/>
          <w:sz w:val="16"/>
          <w:spacing w:val="60"/>
        </w:rPr>
        <w:t>10 · OUR TEAM</w:t>
      </w:r>
    </w:p>
    <w:p>
      <w:pPr>
        <w:spacing w:before="160" w:after="220"/>
      </w:pPr>
      <w:r>
        <w:rPr>
          <w:rFonts w:ascii="Arial" w:hAnsi="Arial"/>
          <w:b/>
          <w:color w:val="15181B"/>
          <w:sz w:val="40"/>
        </w:rPr>
        <w:t>Professional, organised, accountable.</w:t>
      </w:r>
    </w:p>
    <w:p>
      <w:pPr>
        <w:spacing w:before="220" w:after="100"/>
      </w:pPr>
      <w:r>
        <w:rPr>
          <w:rFonts w:ascii="Arial" w:hAnsi="Arial"/>
          <w:b/>
          <w:color w:val="15181B"/>
          <w:sz w:val="22"/>
        </w:rPr>
        <w:t>Professionalism</w:t>
      </w:r>
    </w:p>
    <w:p>
      <w:pPr>
        <w:spacing w:line="348" w:lineRule="auto" w:after="140"/>
      </w:pPr>
      <w:r>
        <w:rPr>
          <w:rFonts w:ascii="Arial" w:hAnsi="Arial"/>
          <w:b w:val="0"/>
          <w:color w:val="3A4047"/>
          <w:sz w:val="22"/>
        </w:rPr>
        <w:t>Nova Jones operates with a strong focus on professionalism across every level of the business. Our team presents, communicates and delivers in a manner that reflects the expectations of institutional and commercial builders, developers, consultants and head contractors. From site engagement through to project close-out, we maintain high standards of conduct, workmanship and accountability.</w:t>
      </w:r>
    </w:p>
    <w:p>
      <w:pPr>
        <w:spacing w:before="220" w:after="100"/>
      </w:pPr>
      <w:r>
        <w:rPr>
          <w:rFonts w:ascii="Arial" w:hAnsi="Arial"/>
          <w:b/>
          <w:color w:val="15181B"/>
          <w:sz w:val="22"/>
        </w:rPr>
        <w:t>Organisation &amp; capability</w:t>
      </w:r>
    </w:p>
    <w:p>
      <w:pPr>
        <w:spacing w:line="348" w:lineRule="auto" w:after="140"/>
      </w:pPr>
      <w:r>
        <w:rPr>
          <w:rFonts w:ascii="Arial" w:hAnsi="Arial"/>
          <w:b w:val="0"/>
          <w:color w:val="3A4047"/>
          <w:sz w:val="22"/>
        </w:rPr>
        <w:t>Our team structure is designed for efficient project delivery and clear responsibility. Each project is supported by experienced installers, site supervisors and a dedicated project manager who oversees planning, coordination and quality control. This delivery model enables Nova Jones to manage multiple projects concurrently while maintaining consistency, reliability and control across all External Cladding scopes.</w:t>
      </w:r>
    </w:p>
    <w:p>
      <w:pPr>
        <w:spacing w:before="220" w:after="100"/>
      </w:pPr>
      <w:r>
        <w:rPr>
          <w:rFonts w:ascii="Arial" w:hAnsi="Arial"/>
          <w:b/>
          <w:color w:val="15181B"/>
          <w:sz w:val="22"/>
        </w:rPr>
        <w:t>Services, systems &amp; expertise</w:t>
      </w:r>
    </w:p>
    <w:p>
      <w:pPr>
        <w:spacing w:line="348" w:lineRule="auto" w:after="140"/>
      </w:pPr>
      <w:r>
        <w:rPr>
          <w:rFonts w:ascii="Arial" w:hAnsi="Arial"/>
          <w:b w:val="0"/>
          <w:color w:val="3A4047"/>
          <w:sz w:val="22"/>
        </w:rPr>
        <w:t>Nova Jones brings together skilled labour, proven systems and technical expertise to deliver complete External Cladding solutions. Our team is experienced in cladding, architectural mouldings, rendering and wall systems, and understands the sequencing and integration of External Cladding works within broader construction programmes.</w:t>
      </w:r>
    </w:p>
    <w:p>
      <w:r>
        <w:br w:type="page"/>
      </w:r>
    </w:p>
    <w:p>
      <w:pPr>
        <w:spacing w:after="80"/>
      </w:pPr>
      <w:r>
        <w:rPr>
          <w:rFonts w:ascii="Arial" w:hAnsi="Arial"/>
          <w:b/>
          <w:color w:val="E87722"/>
          <w:sz w:val="16"/>
          <w:spacing w:val="60"/>
        </w:rPr>
        <w:t>11 · INTEGRATED MANAGEMENT SYSTEMS</w:t>
      </w:r>
    </w:p>
    <w:p>
      <w:pPr>
        <w:spacing w:before="160" w:after="220"/>
      </w:pPr>
      <w:r>
        <w:rPr>
          <w:rFonts w:ascii="Arial" w:hAnsi="Arial"/>
          <w:b/>
          <w:color w:val="15181B"/>
          <w:sz w:val="40"/>
        </w:rPr>
        <w:t>Built on construction-grade software.</w:t>
      </w:r>
    </w:p>
    <w:p>
      <w:pPr>
        <w:spacing w:line="348" w:lineRule="auto" w:after="140"/>
      </w:pPr>
      <w:r>
        <w:rPr>
          <w:rFonts w:ascii="Arial" w:hAnsi="Arial"/>
          <w:b w:val="0"/>
          <w:color w:val="3A4047"/>
          <w:sz w:val="22"/>
        </w:rPr>
        <w:t>To ensure precision, transparency and efficiency across every project, Nova Jones operates on three integrated construction-management platforms covering estimating, project coordination and financial governance.</w:t>
      </w:r>
    </w:p>
    <w:tbl>
      <w:tblPr>
        <w:tblW w:type="auto" w:w="0"/>
        <w:tblLook w:firstColumn="1" w:firstRow="1" w:lastColumn="0" w:lastRow="0" w:noHBand="0" w:noVBand="1" w:val="04A0"/>
      </w:tblPr>
      <w:tblGrid>
        <w:gridCol w:w="3135"/>
        <w:gridCol w:w="3135"/>
        <w:gridCol w:w="3135"/>
      </w:tblGrid>
      <w:tr>
        <w:tc>
          <w:tcPr>
            <w:tcW w:type="dxa" w:w="3135"/>
            <w:tcBorders>
              <w:top w:val="single" w:sz="12" w:color="E87722"/>
              <w:left w:val="single" w:sz="6" w:color="D8DBDF"/>
              <w:bottom w:val="single" w:sz="6" w:color="D8DBDF"/>
              <w:right w:val="single" w:sz="6" w:color="D8DBDF"/>
            </w:tcBorders>
          </w:tcPr>
          <w:p>
            <w:pPr>
              <w:spacing w:after="100"/>
            </w:pPr>
            <w:r/>
            <w:r>
              <w:rPr>
                <w:rFonts w:ascii="Arial" w:hAnsi="Arial"/>
                <w:b/>
                <w:color w:val="15181B"/>
                <w:sz w:val="24"/>
              </w:rPr>
              <w:t>Buildxact</w:t>
            </w:r>
          </w:p>
          <w:p>
            <w:pPr>
              <w:spacing w:line="324" w:lineRule="auto"/>
            </w:pPr>
            <w:r>
              <w:rPr>
                <w:rFonts w:ascii="Arial" w:hAnsi="Arial"/>
                <w:b w:val="0"/>
                <w:color w:val="3A4047"/>
                <w:sz w:val="18"/>
              </w:rPr>
              <w:t>Comprehensive construction management platform. Streamlines estimating and take-offs, ensuring accurate quoting and tight cost control from inception to completion.</w:t>
            </w:r>
          </w:p>
        </w:tc>
        <w:tc>
          <w:tcPr>
            <w:tcW w:type="dxa" w:w="3135"/>
            <w:tcBorders>
              <w:top w:val="single" w:sz="12" w:color="E87722"/>
              <w:left w:val="single" w:sz="6" w:color="D8DBDF"/>
              <w:bottom w:val="single" w:sz="6" w:color="D8DBDF"/>
              <w:right w:val="single" w:sz="6" w:color="D8DBDF"/>
            </w:tcBorders>
          </w:tcPr>
          <w:p>
            <w:pPr>
              <w:spacing w:after="100"/>
            </w:pPr>
            <w:r/>
            <w:r>
              <w:rPr>
                <w:rFonts w:ascii="Arial" w:hAnsi="Arial"/>
                <w:b/>
                <w:color w:val="15181B"/>
                <w:sz w:val="24"/>
              </w:rPr>
              <w:t>Monday.com</w:t>
            </w:r>
          </w:p>
          <w:p>
            <w:pPr>
              <w:spacing w:line="324" w:lineRule="auto"/>
            </w:pPr>
            <w:r>
              <w:rPr>
                <w:rFonts w:ascii="Arial" w:hAnsi="Arial"/>
                <w:b w:val="0"/>
                <w:color w:val="3A4047"/>
                <w:sz w:val="18"/>
              </w:rPr>
              <w:t>Centralised Work OS for operational agility. Powers real-time collaboration, resource scheduling and workflow tracking — bridging on-site crews with office management.</w:t>
            </w:r>
          </w:p>
        </w:tc>
        <w:tc>
          <w:tcPr>
            <w:tcW w:type="dxa" w:w="3135"/>
            <w:tcBorders>
              <w:top w:val="single" w:sz="12" w:color="E87722"/>
              <w:left w:val="single" w:sz="6" w:color="D8DBDF"/>
              <w:bottom w:val="single" w:sz="6" w:color="D8DBDF"/>
              <w:right w:val="single" w:sz="6" w:color="D8DBDF"/>
            </w:tcBorders>
          </w:tcPr>
          <w:p>
            <w:pPr>
              <w:spacing w:after="100"/>
            </w:pPr>
            <w:r/>
            <w:r>
              <w:rPr>
                <w:rFonts w:ascii="Arial" w:hAnsi="Arial"/>
                <w:b/>
                <w:color w:val="15181B"/>
                <w:sz w:val="24"/>
              </w:rPr>
              <w:t>Xero</w:t>
            </w:r>
          </w:p>
          <w:p>
            <w:pPr>
              <w:spacing w:line="324" w:lineRule="auto"/>
            </w:pPr>
            <w:r>
              <w:rPr>
                <w:rFonts w:ascii="Arial" w:hAnsi="Arial"/>
                <w:b w:val="0"/>
                <w:color w:val="3A4047"/>
                <w:sz w:val="18"/>
              </w:rPr>
              <w:t>Leading cloud-based accounting platform. Provides real-time visibility into accounts, supporting robust cash flow management, transparent reporting and reliable financial governance.</w:t>
            </w:r>
          </w:p>
        </w:tc>
      </w:tr>
    </w:tbl>
    <w:p>
      <w:pPr>
        <w:spacing w:after="160"/>
      </w:pPr>
    </w:p>
    <w:p>
      <w:pPr>
        <w:spacing w:line="348" w:lineRule="auto" w:after="140"/>
      </w:pPr>
      <w:r>
        <w:rPr>
          <w:rFonts w:ascii="Arial" w:hAnsi="Arial"/>
          <w:b w:val="0"/>
          <w:color w:val="3A4047"/>
          <w:sz w:val="22"/>
        </w:rPr>
        <w:t>This integrated stack supports accurate quoting, real-time programme awareness, transparent invoicing and complete project visibility for our clients.</w:t>
      </w:r>
    </w:p>
    <w:p>
      <w:r>
        <w:br w:type="page"/>
      </w:r>
    </w:p>
    <w:p>
      <w:pPr>
        <w:spacing w:after="80"/>
      </w:pPr>
      <w:r>
        <w:rPr>
          <w:rFonts w:ascii="Arial" w:hAnsi="Arial"/>
          <w:b/>
          <w:color w:val="E87722"/>
          <w:sz w:val="16"/>
          <w:spacing w:val="60"/>
        </w:rPr>
        <w:t>12 · SAFETY, QUALITY &amp; COMPLIANCE</w:t>
      </w:r>
    </w:p>
    <w:p>
      <w:pPr>
        <w:spacing w:before="160" w:after="220"/>
      </w:pPr>
      <w:r>
        <w:rPr>
          <w:rFonts w:ascii="Arial" w:hAnsi="Arial"/>
          <w:b/>
          <w:color w:val="15181B"/>
          <w:sz w:val="40"/>
        </w:rPr>
        <w:t>Safety and compliance are foundational.</w:t>
      </w:r>
    </w:p>
    <w:p>
      <w:pPr>
        <w:spacing w:line="348" w:lineRule="auto" w:after="140"/>
      </w:pPr>
      <w:r>
        <w:rPr>
          <w:rFonts w:ascii="Arial" w:hAnsi="Arial"/>
          <w:b w:val="0"/>
          <w:color w:val="3A4047"/>
          <w:sz w:val="22"/>
        </w:rPr>
        <w:t>Nova Jones is committed to delivering quality workmanship in a safe, compliant and professional working environment. Safety and risk management are fundamental to how we operate. We proactively identify, assess and control hazards associated with External Cladding installation, working at heights, scaffolding, rendering and wall system installation.</w:t>
      </w:r>
    </w:p>
    <w:p>
      <w:pPr>
        <w:spacing w:before="220" w:after="100"/>
      </w:pPr>
      <w:r>
        <w:rPr>
          <w:rFonts w:ascii="Arial" w:hAnsi="Arial"/>
          <w:b/>
          <w:color w:val="15181B"/>
          <w:sz w:val="22"/>
        </w:rPr>
        <w:t>Standards and regulatory framework</w:t>
      </w:r>
    </w:p>
    <w:p>
      <w:pPr>
        <w:spacing w:line="348" w:lineRule="auto" w:after="140"/>
      </w:pPr>
      <w:r>
        <w:rPr>
          <w:rFonts w:ascii="Arial" w:hAnsi="Arial"/>
          <w:b w:val="0"/>
          <w:color w:val="3A4047"/>
          <w:sz w:val="22"/>
        </w:rPr>
        <w:t>Nova Jones operates in strict accordance with Australian Standards and industry regulations:</w:t>
      </w:r>
    </w:p>
    <w:p>
      <w:pPr>
        <w:pStyle w:val="ListBullet"/>
        <w:spacing w:after="60" w:line="312" w:lineRule="auto"/>
      </w:pPr>
      <w:r>
        <w:rPr>
          <w:rFonts w:ascii="Arial" w:hAnsi="Arial"/>
          <w:b/>
          <w:color w:val="15181B"/>
          <w:sz w:val="22"/>
        </w:rPr>
        <w:t xml:space="preserve">AS/NZS Standards — </w:t>
      </w:r>
      <w:r>
        <w:rPr>
          <w:rFonts w:ascii="Arial" w:hAnsi="Arial"/>
          <w:b w:val="0"/>
          <w:color w:val="3A4047"/>
          <w:sz w:val="22"/>
        </w:rPr>
        <w:t>adherence to relevant installation standards for cladding, rendering and wall systems.</w:t>
      </w:r>
    </w:p>
    <w:p>
      <w:pPr>
        <w:pStyle w:val="ListBullet"/>
        <w:spacing w:after="60" w:line="312" w:lineRule="auto"/>
      </w:pPr>
      <w:r>
        <w:rPr>
          <w:rFonts w:ascii="Arial" w:hAnsi="Arial"/>
          <w:b/>
          <w:color w:val="15181B"/>
          <w:sz w:val="22"/>
        </w:rPr>
        <w:t xml:space="preserve">NCC Compliance — </w:t>
      </w:r>
      <w:r>
        <w:rPr>
          <w:rFonts w:ascii="Arial" w:hAnsi="Arial"/>
          <w:b w:val="0"/>
          <w:color w:val="3A4047"/>
          <w:sz w:val="22"/>
        </w:rPr>
        <w:t>ensuring External Cladding solutions meet the National Construction Code for fire safety, weatherproofing and structural integrity.</w:t>
      </w:r>
    </w:p>
    <w:p>
      <w:pPr>
        <w:pStyle w:val="ListBullet"/>
        <w:spacing w:after="60" w:line="312" w:lineRule="auto"/>
      </w:pPr>
      <w:r>
        <w:rPr>
          <w:rFonts w:ascii="Arial" w:hAnsi="Arial"/>
          <w:b/>
          <w:color w:val="15181B"/>
          <w:sz w:val="22"/>
        </w:rPr>
        <w:t xml:space="preserve">Manufacturer specifications — </w:t>
      </w:r>
      <w:r>
        <w:rPr>
          <w:rFonts w:ascii="Arial" w:hAnsi="Arial"/>
          <w:b w:val="0"/>
          <w:color w:val="3A4047"/>
          <w:sz w:val="22"/>
        </w:rPr>
        <w:t>installation strictly follows technical manuals from suppliers (e.g. James Hardie, Hebel) to preserve warranty and performance.</w:t>
      </w:r>
    </w:p>
    <w:p>
      <w:pPr>
        <w:pStyle w:val="ListBullet"/>
        <w:spacing w:after="60" w:line="312" w:lineRule="auto"/>
      </w:pPr>
      <w:r>
        <w:rPr>
          <w:rFonts w:ascii="Arial" w:hAnsi="Arial"/>
          <w:b/>
          <w:color w:val="15181B"/>
          <w:sz w:val="22"/>
        </w:rPr>
        <w:t xml:space="preserve">WorkSafe Victoria — </w:t>
      </w:r>
      <w:r>
        <w:rPr>
          <w:rFonts w:ascii="Arial" w:hAnsi="Arial"/>
          <w:b w:val="0"/>
          <w:color w:val="3A4047"/>
          <w:sz w:val="22"/>
        </w:rPr>
        <w:t>compliance with all WorkSafe Victoria requirements and builder site rules.</w:t>
      </w:r>
    </w:p>
    <w:p>
      <w:pPr>
        <w:spacing w:before="220" w:after="100"/>
      </w:pPr>
      <w:r>
        <w:rPr>
          <w:rFonts w:ascii="Arial" w:hAnsi="Arial"/>
          <w:b/>
          <w:color w:val="15181B"/>
          <w:sz w:val="22"/>
        </w:rPr>
        <w:t>Safety management practices</w:t>
      </w:r>
    </w:p>
    <w:p>
      <w:pPr>
        <w:pStyle w:val="ListBullet"/>
        <w:spacing w:after="60" w:line="312" w:lineRule="auto"/>
      </w:pPr>
      <w:r>
        <w:rPr>
          <w:rFonts w:ascii="Arial" w:hAnsi="Arial"/>
          <w:b w:val="0"/>
          <w:color w:val="3A4047"/>
          <w:sz w:val="22"/>
        </w:rPr>
        <w:t>Project-specific Safe Work Method Statements (SWMS)</w:t>
      </w:r>
    </w:p>
    <w:p>
      <w:pPr>
        <w:pStyle w:val="ListBullet"/>
        <w:spacing w:after="60" w:line="312" w:lineRule="auto"/>
      </w:pPr>
      <w:r>
        <w:rPr>
          <w:rFonts w:ascii="Arial" w:hAnsi="Arial"/>
          <w:b w:val="0"/>
          <w:color w:val="3A4047"/>
          <w:sz w:val="22"/>
        </w:rPr>
        <w:t>Pre-start and pre-construction risk assessments</w:t>
      </w:r>
    </w:p>
    <w:p>
      <w:pPr>
        <w:pStyle w:val="ListBullet"/>
        <w:spacing w:after="60" w:line="312" w:lineRule="auto"/>
      </w:pPr>
      <w:r>
        <w:rPr>
          <w:rFonts w:ascii="Arial" w:hAnsi="Arial"/>
          <w:b w:val="0"/>
          <w:color w:val="3A4047"/>
          <w:sz w:val="22"/>
        </w:rPr>
        <w:t>Site inductions and ongoing safety briefings</w:t>
      </w:r>
    </w:p>
    <w:p>
      <w:pPr>
        <w:pStyle w:val="ListBullet"/>
        <w:spacing w:after="60" w:line="312" w:lineRule="auto"/>
      </w:pPr>
      <w:r>
        <w:rPr>
          <w:rFonts w:ascii="Arial" w:hAnsi="Arial"/>
          <w:b w:val="0"/>
          <w:color w:val="3A4047"/>
          <w:sz w:val="22"/>
        </w:rPr>
        <w:t>Regular site inspections and corrective action processes</w:t>
      </w:r>
    </w:p>
    <w:p>
      <w:pPr>
        <w:pStyle w:val="ListBullet"/>
        <w:spacing w:after="60" w:line="312" w:lineRule="auto"/>
      </w:pPr>
      <w:r>
        <w:rPr>
          <w:rFonts w:ascii="Arial" w:hAnsi="Arial"/>
          <w:b w:val="0"/>
          <w:color w:val="3A4047"/>
          <w:sz w:val="22"/>
        </w:rPr>
        <w:t>Toolbox talks and continuous improvement culture</w:t>
      </w:r>
    </w:p>
    <w:p>
      <w:pPr>
        <w:pStyle w:val="ListBullet"/>
        <w:spacing w:after="60" w:line="312" w:lineRule="auto"/>
      </w:pPr>
      <w:r>
        <w:rPr>
          <w:rFonts w:ascii="Arial" w:hAnsi="Arial"/>
          <w:b w:val="0"/>
          <w:color w:val="3A4047"/>
          <w:sz w:val="22"/>
        </w:rPr>
        <w:t>Documented quality assurance and stage sign-off</w:t>
      </w:r>
    </w:p>
    <w:p>
      <w:r>
        <w:br w:type="page"/>
      </w:r>
    </w:p>
    <w:p>
      <w:pPr>
        <w:spacing w:after="80"/>
      </w:pPr>
      <w:r>
        <w:rPr>
          <w:rFonts w:ascii="Arial" w:hAnsi="Arial"/>
          <w:b/>
          <w:color w:val="E87722"/>
          <w:sz w:val="16"/>
          <w:spacing w:val="60"/>
        </w:rPr>
        <w:t>13 · STANDARDS &amp; CREDENTIALS</w:t>
      </w:r>
    </w:p>
    <w:p>
      <w:pPr>
        <w:spacing w:before="160" w:after="220"/>
      </w:pPr>
      <w:r>
        <w:rPr>
          <w:rFonts w:ascii="Arial" w:hAnsi="Arial"/>
          <w:b/>
          <w:color w:val="15181B"/>
          <w:sz w:val="40"/>
        </w:rPr>
        <w:t>Compliance, accreditation &amp; insurance.</w:t>
      </w:r>
    </w:p>
    <w:p>
      <w:pPr>
        <w:spacing w:line="348" w:lineRule="auto" w:after="140"/>
      </w:pPr>
      <w:r>
        <w:rPr>
          <w:rFonts w:ascii="Arial" w:hAnsi="Arial"/>
          <w:b w:val="0"/>
          <w:color w:val="3A4047"/>
          <w:sz w:val="22"/>
        </w:rPr>
        <w:t>Nova Jones is structured to meet the documentation requirements of institutional and commercial builders, head contractors and tier-one developers. This includes adherence to Australian Standards, manufacturer accreditation, and current insurances aligned to the scope of works.</w:t>
      </w:r>
    </w:p>
    <w:tbl>
      <w:tblPr>
        <w:tblW w:type="auto" w:w="0"/>
        <w:tblLook w:firstColumn="1" w:firstRow="1" w:lastColumn="0" w:lastRow="0" w:noHBand="0" w:noVBand="1" w:val="04A0"/>
      </w:tblPr>
      <w:tblGrid>
        <w:gridCol w:w="4703"/>
        <w:gridCol w:w="4703"/>
      </w:tblGrid>
      <w:tr>
        <w:tc>
          <w:tcPr>
            <w:tcW w:type="dxa" w:w="4703"/>
            <w:shd w:val="clear" w:color="auto" w:fill="15181B"/>
            <w:tcBorders>
              <w:top w:val="single" w:sz="6" w:color="15181B"/>
              <w:left w:val="single" w:sz="6" w:color="15181B"/>
              <w:bottom w:val="single" w:sz="6" w:color="15181B"/>
              <w:right w:val="single" w:sz="6" w:color="15181B"/>
            </w:tcBorders>
          </w:tcPr>
          <w:p>
            <w:r/>
            <w:r>
              <w:rPr>
                <w:rFonts w:ascii="Arial" w:hAnsi="Arial"/>
                <w:b/>
                <w:color w:val="FFFFFF"/>
                <w:sz w:val="16"/>
                <w:spacing w:val="80"/>
              </w:rPr>
              <w:t>REGULATORY &amp; TECHNICAL STANDARDS</w:t>
            </w:r>
          </w:p>
        </w:tc>
        <w:tc>
          <w:tcPr>
            <w:tcW w:type="dxa" w:w="4703"/>
            <w:shd w:val="clear" w:color="auto" w:fill="15181B"/>
            <w:tcBorders>
              <w:top w:val="single" w:sz="6" w:color="15181B"/>
              <w:left w:val="single" w:sz="6" w:color="15181B"/>
              <w:bottom w:val="single" w:sz="6" w:color="15181B"/>
              <w:right w:val="single" w:sz="6" w:color="15181B"/>
            </w:tcBorders>
          </w:tcPr>
          <w:p>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National Construction Code</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Full NCC compliance for fire safety, weatherproofing, structural integrity and energy efficiency.</w:t>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AS/NZS Standards</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Installation standards for cladding, rendering, wall systems and acoustic / fire performance.</w:t>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CodeMark Certification</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Manufacturer CodeMark certificates supplied where applicable (James Hardie, Hebel, Master Wall).</w:t>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BAL Ratings</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Bushfire Attack Level systems available up to BAL-FZ (Hardie Gravis AAC).</w:t>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WorkSafe Victoria</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Full compliance with WorkSafe Victoria regulations and builder site rules.</w:t>
            </w:r>
          </w:p>
        </w:tc>
      </w:tr>
      <w:tr>
        <w:tc>
          <w:tcPr>
            <w:tcW w:type="dxa" w:w="4703"/>
            <w:shd w:val="clear" w:color="auto" w:fill="15181B"/>
            <w:tcBorders>
              <w:top w:val="single" w:sz="6" w:color="15181B"/>
              <w:left w:val="single" w:sz="6" w:color="15181B"/>
              <w:bottom w:val="single" w:sz="6" w:color="15181B"/>
              <w:right w:val="single" w:sz="6" w:color="15181B"/>
            </w:tcBorders>
          </w:tcPr>
          <w:p>
            <w:r/>
            <w:r>
              <w:rPr>
                <w:rFonts w:ascii="Arial" w:hAnsi="Arial"/>
                <w:b/>
                <w:color w:val="FFFFFF"/>
                <w:sz w:val="16"/>
                <w:spacing w:val="80"/>
              </w:rPr>
              <w:t>MANUFACTURER ACCREDITATION</w:t>
            </w:r>
          </w:p>
        </w:tc>
        <w:tc>
          <w:tcPr>
            <w:tcW w:type="dxa" w:w="4703"/>
            <w:shd w:val="clear" w:color="auto" w:fill="15181B"/>
            <w:tcBorders>
              <w:top w:val="single" w:sz="6" w:color="15181B"/>
              <w:left w:val="single" w:sz="6" w:color="15181B"/>
              <w:bottom w:val="single" w:sz="6" w:color="15181B"/>
              <w:right w:val="single" w:sz="6" w:color="15181B"/>
            </w:tcBorders>
          </w:tcPr>
          <w:p>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James Hardie</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Authorised Hardie Gravis AAC distributor and approved installer. Full Hardie cladding range — Axon, Linea, Matrix, Stria, EasyLap, Brushed Concrete, Fine Texture.</w:t>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CSR Cemintel &amp; Hebel</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Cemintel Territory, Surround and Barestone supplier. Hebel AAC panel installer.</w:t>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BGC Innova</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Innova Stratum, Nuline, Duraplank and Montage façade systems.</w:t>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Master Wall, Unitex, Rockcote, Dulux Acratex</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Accredited render and texture coatings installer.</w:t>
            </w:r>
          </w:p>
        </w:tc>
      </w:tr>
      <w:tr>
        <w:tc>
          <w:tcPr>
            <w:tcW w:type="dxa" w:w="4703"/>
            <w:shd w:val="clear" w:color="auto" w:fill="15181B"/>
            <w:tcBorders>
              <w:top w:val="single" w:sz="6" w:color="15181B"/>
              <w:left w:val="single" w:sz="6" w:color="15181B"/>
              <w:bottom w:val="single" w:sz="6" w:color="15181B"/>
              <w:right w:val="single" w:sz="6" w:color="15181B"/>
            </w:tcBorders>
          </w:tcPr>
          <w:p>
            <w:r/>
            <w:r>
              <w:rPr>
                <w:rFonts w:ascii="Arial" w:hAnsi="Arial"/>
                <w:b/>
                <w:color w:val="FFFFFF"/>
                <w:sz w:val="16"/>
                <w:spacing w:val="80"/>
              </w:rPr>
              <w:t>INSURANCE &amp; TRADE LICENCES</w:t>
            </w:r>
          </w:p>
        </w:tc>
        <w:tc>
          <w:tcPr>
            <w:tcW w:type="dxa" w:w="4703"/>
            <w:shd w:val="clear" w:color="auto" w:fill="15181B"/>
            <w:tcBorders>
              <w:top w:val="single" w:sz="6" w:color="15181B"/>
              <w:left w:val="single" w:sz="6" w:color="15181B"/>
              <w:bottom w:val="single" w:sz="6" w:color="15181B"/>
              <w:right w:val="single" w:sz="6" w:color="15181B"/>
            </w:tcBorders>
          </w:tcPr>
          <w:p>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Public &amp; Products Liability</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Current PL/PPL insurance maintained at levels appropriate to institutional and commercial scopes. Certificates of Currency provided on request.</w:t>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Workers Compensation</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Current WorkSafe Victoria Workers Compensation insurance for all employees and contracted installers.</w:t>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Working at Heights</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Installation crews certified for working at heights and scaffolding.</w:t>
            </w:r>
          </w:p>
        </w:tc>
      </w:tr>
      <w:tr>
        <w:tc>
          <w:tcPr>
            <w:tcW w:type="dxa" w:w="4703"/>
            <w:tcBorders>
              <w:top w:val="single" w:sz="6" w:color="D8DBDF"/>
              <w:left w:val="single" w:sz="6" w:color="D8DBDF"/>
              <w:bottom w:val="single" w:sz="6" w:color="D8DBDF"/>
              <w:right w:val="single" w:sz="6" w:color="D8DBDF"/>
            </w:tcBorders>
            <w:vAlign w:val="top"/>
          </w:tcPr>
          <w:p>
            <w:pPr>
              <w:spacing w:after="0"/>
            </w:pPr>
            <w:r/>
            <w:r>
              <w:rPr>
                <w:rFonts w:ascii="Arial" w:hAnsi="Arial"/>
                <w:b/>
                <w:color w:val="15181B"/>
                <w:sz w:val="20"/>
              </w:rPr>
              <w:t>Business Registration</w:t>
            </w:r>
          </w:p>
        </w:tc>
        <w:tc>
          <w:tcPr>
            <w:tcW w:type="dxa" w:w="4703"/>
            <w:tcBorders>
              <w:top w:val="single" w:sz="6" w:color="D8DBDF"/>
              <w:left w:val="single" w:sz="6" w:color="D8DBDF"/>
              <w:bottom w:val="single" w:sz="6" w:color="D8DBDF"/>
              <w:right w:val="single" w:sz="6" w:color="D8DBDF"/>
            </w:tcBorders>
            <w:vAlign w:val="top"/>
          </w:tcPr>
          <w:p>
            <w:pPr>
              <w:spacing w:after="0" w:line="324" w:lineRule="auto"/>
            </w:pPr>
            <w:r/>
            <w:r>
              <w:rPr>
                <w:rFonts w:ascii="Arial" w:hAnsi="Arial"/>
                <w:b w:val="0"/>
                <w:color w:val="3A4047"/>
                <w:sz w:val="20"/>
              </w:rPr>
              <w:t>Nova Jones Pty Ltd, ABN registered, Victorian-based.</w:t>
            </w:r>
          </w:p>
        </w:tc>
      </w:tr>
    </w:tbl>
    <w:p>
      <w:r>
        <w:br w:type="page"/>
      </w:r>
    </w:p>
    <w:p>
      <w:pPr>
        <w:spacing w:after="80"/>
      </w:pPr>
      <w:r>
        <w:rPr>
          <w:rFonts w:ascii="Arial" w:hAnsi="Arial"/>
          <w:b/>
          <w:color w:val="E87722"/>
          <w:sz w:val="16"/>
          <w:spacing w:val="60"/>
        </w:rPr>
        <w:t>14 · ENGAGEMENT &amp; TENDER PROCESS</w:t>
      </w:r>
    </w:p>
    <w:p>
      <w:pPr>
        <w:spacing w:before="160" w:after="220"/>
      </w:pPr>
      <w:r>
        <w:rPr>
          <w:rFonts w:ascii="Arial" w:hAnsi="Arial"/>
          <w:b/>
          <w:color w:val="15181B"/>
          <w:sz w:val="40"/>
        </w:rPr>
        <w:t>How we engage with builders.</w:t>
      </w:r>
    </w:p>
    <w:p>
      <w:pPr>
        <w:spacing w:line="348" w:lineRule="auto" w:after="140"/>
      </w:pPr>
      <w:r>
        <w:rPr>
          <w:rFonts w:ascii="Arial" w:hAnsi="Arial"/>
          <w:b w:val="0"/>
          <w:color w:val="3A4047"/>
          <w:sz w:val="22"/>
        </w:rPr>
        <w:t>Nova Jones is set up to respond to formal tender packages, head-contractor procurement processes and direct builder engagements. Our typical engagement cycle is structured around five clear steps:</w:t>
      </w:r>
    </w:p>
    <w:tbl>
      <w:tblPr>
        <w:tblW w:type="auto" w:w="0"/>
        <w:tblLook w:firstColumn="1" w:firstRow="1" w:lastColumn="0" w:lastRow="0" w:noHBand="0" w:noVBand="1" w:val="04A0"/>
      </w:tblPr>
      <w:tblGrid>
        <w:gridCol w:w="1881"/>
        <w:gridCol w:w="1881"/>
        <w:gridCol w:w="1881"/>
        <w:gridCol w:w="1881"/>
        <w:gridCol w:w="1881"/>
      </w:tblGrid>
      <w:tr>
        <w:tc>
          <w:tcPr>
            <w:tcW w:type="dxa" w:w="1881"/>
            <w:tcBorders>
              <w:top w:val="single" w:sz="12" w:color="E87722"/>
              <w:left w:val="single" w:sz="6" w:color="D8DBDF"/>
              <w:bottom w:val="single" w:sz="6" w:color="D8DBDF"/>
              <w:right w:val="single" w:sz="6" w:color="D8DBDF"/>
            </w:tcBorders>
          </w:tcPr>
          <w:p>
            <w:pPr>
              <w:spacing w:after="80"/>
            </w:pPr>
            <w:r/>
            <w:r>
              <w:rPr>
                <w:rFonts w:ascii="Arial" w:hAnsi="Arial"/>
                <w:b/>
                <w:color w:val="E87722"/>
                <w:sz w:val="28"/>
              </w:rPr>
              <w:t>01</w:t>
            </w:r>
          </w:p>
          <w:p>
            <w:pPr>
              <w:spacing w:after="80"/>
            </w:pPr>
            <w:r>
              <w:rPr>
                <w:rFonts w:ascii="Arial" w:hAnsi="Arial"/>
                <w:b/>
                <w:color w:val="15181B"/>
                <w:sz w:val="18"/>
              </w:rPr>
              <w:t>Tender / Scope</w:t>
            </w:r>
          </w:p>
          <w:p>
            <w:pPr>
              <w:spacing w:line="312" w:lineRule="auto"/>
            </w:pPr>
            <w:r>
              <w:rPr>
                <w:rFonts w:ascii="Arial" w:hAnsi="Arial"/>
                <w:b w:val="0"/>
                <w:color w:val="3A4047"/>
                <w:sz w:val="16"/>
              </w:rPr>
              <w:t>Receive drawings, specification and programme. Tender documentation reviewed in detail.</w:t>
            </w:r>
          </w:p>
        </w:tc>
        <w:tc>
          <w:tcPr>
            <w:tcW w:type="dxa" w:w="1881"/>
            <w:tcBorders>
              <w:top w:val="single" w:sz="12" w:color="E87722"/>
              <w:left w:val="single" w:sz="6" w:color="D8DBDF"/>
              <w:bottom w:val="single" w:sz="6" w:color="D8DBDF"/>
              <w:right w:val="single" w:sz="6" w:color="D8DBDF"/>
            </w:tcBorders>
          </w:tcPr>
          <w:p>
            <w:pPr>
              <w:spacing w:after="80"/>
            </w:pPr>
            <w:r/>
            <w:r>
              <w:rPr>
                <w:rFonts w:ascii="Arial" w:hAnsi="Arial"/>
                <w:b/>
                <w:color w:val="E87722"/>
                <w:sz w:val="28"/>
              </w:rPr>
              <w:t>02</w:t>
            </w:r>
          </w:p>
          <w:p>
            <w:pPr>
              <w:spacing w:after="80"/>
            </w:pPr>
            <w:r>
              <w:rPr>
                <w:rFonts w:ascii="Arial" w:hAnsi="Arial"/>
                <w:b/>
                <w:color w:val="15181B"/>
                <w:sz w:val="18"/>
              </w:rPr>
              <w:t>Take-off &amp; Quote</w:t>
            </w:r>
          </w:p>
          <w:p>
            <w:pPr>
              <w:spacing w:line="312" w:lineRule="auto"/>
            </w:pPr>
            <w:r>
              <w:rPr>
                <w:rFonts w:ascii="Arial" w:hAnsi="Arial"/>
                <w:b w:val="0"/>
                <w:color w:val="3A4047"/>
                <w:sz w:val="16"/>
              </w:rPr>
              <w:t>Detailed take-offs in Buildxact. Indicative or fixed quote returned within agreed timeframe.</w:t>
            </w:r>
          </w:p>
        </w:tc>
        <w:tc>
          <w:tcPr>
            <w:tcW w:type="dxa" w:w="1881"/>
            <w:tcBorders>
              <w:top w:val="single" w:sz="12" w:color="E87722"/>
              <w:left w:val="single" w:sz="6" w:color="D8DBDF"/>
              <w:bottom w:val="single" w:sz="6" w:color="D8DBDF"/>
              <w:right w:val="single" w:sz="6" w:color="D8DBDF"/>
            </w:tcBorders>
          </w:tcPr>
          <w:p>
            <w:pPr>
              <w:spacing w:after="80"/>
            </w:pPr>
            <w:r/>
            <w:r>
              <w:rPr>
                <w:rFonts w:ascii="Arial" w:hAnsi="Arial"/>
                <w:b/>
                <w:color w:val="E87722"/>
                <w:sz w:val="28"/>
              </w:rPr>
              <w:t>03</w:t>
            </w:r>
          </w:p>
          <w:p>
            <w:pPr>
              <w:spacing w:after="80"/>
            </w:pPr>
            <w:r>
              <w:rPr>
                <w:rFonts w:ascii="Arial" w:hAnsi="Arial"/>
                <w:b/>
                <w:color w:val="15181B"/>
                <w:sz w:val="18"/>
              </w:rPr>
              <w:t>Award &amp; Mobilise</w:t>
            </w:r>
          </w:p>
          <w:p>
            <w:pPr>
              <w:spacing w:line="312" w:lineRule="auto"/>
            </w:pPr>
            <w:r>
              <w:rPr>
                <w:rFonts w:ascii="Arial" w:hAnsi="Arial"/>
                <w:b w:val="0"/>
                <w:color w:val="3A4047"/>
                <w:sz w:val="16"/>
              </w:rPr>
              <w:t>Contract signed, materials procured, programme integrated with adjacent trades.</w:t>
            </w:r>
          </w:p>
        </w:tc>
        <w:tc>
          <w:tcPr>
            <w:tcW w:type="dxa" w:w="1881"/>
            <w:tcBorders>
              <w:top w:val="single" w:sz="12" w:color="E87722"/>
              <w:left w:val="single" w:sz="6" w:color="D8DBDF"/>
              <w:bottom w:val="single" w:sz="6" w:color="D8DBDF"/>
              <w:right w:val="single" w:sz="6" w:color="D8DBDF"/>
            </w:tcBorders>
          </w:tcPr>
          <w:p>
            <w:pPr>
              <w:spacing w:after="80"/>
            </w:pPr>
            <w:r/>
            <w:r>
              <w:rPr>
                <w:rFonts w:ascii="Arial" w:hAnsi="Arial"/>
                <w:b/>
                <w:color w:val="E87722"/>
                <w:sz w:val="28"/>
              </w:rPr>
              <w:t>04</w:t>
            </w:r>
          </w:p>
          <w:p>
            <w:pPr>
              <w:spacing w:after="80"/>
            </w:pPr>
            <w:r>
              <w:rPr>
                <w:rFonts w:ascii="Arial" w:hAnsi="Arial"/>
                <w:b/>
                <w:color w:val="15181B"/>
                <w:sz w:val="18"/>
              </w:rPr>
              <w:t>Install &amp; QA</w:t>
            </w:r>
          </w:p>
          <w:p>
            <w:pPr>
              <w:spacing w:line="312" w:lineRule="auto"/>
            </w:pPr>
            <w:r>
              <w:rPr>
                <w:rFonts w:ascii="Arial" w:hAnsi="Arial"/>
                <w:b w:val="0"/>
                <w:color w:val="3A4047"/>
                <w:sz w:val="16"/>
              </w:rPr>
              <w:t>Manufacturer-spec installation by inducted crews. Progressive QA and stage sign-offs.</w:t>
            </w:r>
          </w:p>
        </w:tc>
        <w:tc>
          <w:tcPr>
            <w:tcW w:type="dxa" w:w="1881"/>
            <w:tcBorders>
              <w:top w:val="single" w:sz="12" w:color="E87722"/>
              <w:left w:val="single" w:sz="6" w:color="D8DBDF"/>
              <w:bottom w:val="single" w:sz="6" w:color="D8DBDF"/>
              <w:right w:val="single" w:sz="6" w:color="D8DBDF"/>
            </w:tcBorders>
          </w:tcPr>
          <w:p>
            <w:pPr>
              <w:spacing w:after="80"/>
            </w:pPr>
            <w:r/>
            <w:r>
              <w:rPr>
                <w:rFonts w:ascii="Arial" w:hAnsi="Arial"/>
                <w:b/>
                <w:color w:val="E87722"/>
                <w:sz w:val="28"/>
              </w:rPr>
              <w:t>05</w:t>
            </w:r>
          </w:p>
          <w:p>
            <w:pPr>
              <w:spacing w:after="80"/>
            </w:pPr>
            <w:r>
              <w:rPr>
                <w:rFonts w:ascii="Arial" w:hAnsi="Arial"/>
                <w:b/>
                <w:color w:val="15181B"/>
                <w:sz w:val="18"/>
              </w:rPr>
              <w:t>Handover</w:t>
            </w:r>
          </w:p>
          <w:p>
            <w:pPr>
              <w:spacing w:line="312" w:lineRule="auto"/>
            </w:pPr>
            <w:r>
              <w:rPr>
                <w:rFonts w:ascii="Arial" w:hAnsi="Arial"/>
                <w:b w:val="0"/>
                <w:color w:val="3A4047"/>
                <w:sz w:val="16"/>
              </w:rPr>
              <w:t>Defect closure, manufacturer certificates, warranty pack and final compliance documentation delivered.</w:t>
            </w:r>
          </w:p>
        </w:tc>
      </w:tr>
    </w:tbl>
    <w:p>
      <w:pPr>
        <w:spacing w:after="160"/>
      </w:pPr>
    </w:p>
    <w:p>
      <w:pPr>
        <w:spacing w:before="220" w:after="100"/>
      </w:pPr>
      <w:r>
        <w:rPr>
          <w:rFonts w:ascii="Arial" w:hAnsi="Arial"/>
          <w:b/>
          <w:color w:val="15181B"/>
          <w:sz w:val="22"/>
        </w:rPr>
        <w:t>Tender response capability</w:t>
      </w:r>
    </w:p>
    <w:p>
      <w:pPr>
        <w:spacing w:line="348" w:lineRule="auto" w:after="140"/>
      </w:pPr>
      <w:r>
        <w:rPr>
          <w:rFonts w:ascii="Arial" w:hAnsi="Arial"/>
          <w:b w:val="0"/>
          <w:color w:val="3A4047"/>
          <w:sz w:val="22"/>
        </w:rPr>
        <w:t>For institutional and commercial tenders Nova Jones provides:</w:t>
      </w:r>
    </w:p>
    <w:p>
      <w:pPr>
        <w:pStyle w:val="ListBullet"/>
        <w:spacing w:after="60" w:line="312" w:lineRule="auto"/>
      </w:pPr>
      <w:r>
        <w:rPr>
          <w:rFonts w:ascii="Arial" w:hAnsi="Arial"/>
          <w:b w:val="0"/>
          <w:color w:val="3A4047"/>
          <w:sz w:val="22"/>
        </w:rPr>
        <w:t>Detailed bill-of-quantities take-offs by qualified estimators</w:t>
      </w:r>
    </w:p>
    <w:p>
      <w:pPr>
        <w:pStyle w:val="ListBullet"/>
        <w:spacing w:after="60" w:line="312" w:lineRule="auto"/>
      </w:pPr>
      <w:r>
        <w:rPr>
          <w:rFonts w:ascii="Arial" w:hAnsi="Arial"/>
          <w:b w:val="0"/>
          <w:color w:val="3A4047"/>
          <w:sz w:val="22"/>
        </w:rPr>
        <w:t>Manufacturer-spec material lists with substitution options where appropriate</w:t>
      </w:r>
    </w:p>
    <w:p>
      <w:pPr>
        <w:pStyle w:val="ListBullet"/>
        <w:spacing w:after="60" w:line="312" w:lineRule="auto"/>
      </w:pPr>
      <w:r>
        <w:rPr>
          <w:rFonts w:ascii="Arial" w:hAnsi="Arial"/>
          <w:b w:val="0"/>
          <w:color w:val="3A4047"/>
          <w:sz w:val="22"/>
        </w:rPr>
        <w:t>Programme integration with the head contractor's master schedule</w:t>
      </w:r>
    </w:p>
    <w:p>
      <w:pPr>
        <w:pStyle w:val="ListBullet"/>
        <w:spacing w:after="60" w:line="312" w:lineRule="auto"/>
      </w:pPr>
      <w:r>
        <w:rPr>
          <w:rFonts w:ascii="Arial" w:hAnsi="Arial"/>
          <w:b w:val="0"/>
          <w:color w:val="3A4047"/>
          <w:sz w:val="22"/>
        </w:rPr>
        <w:t>Itemised pricing — supply, install, render, mouldings, mobilisation</w:t>
      </w:r>
    </w:p>
    <w:p>
      <w:pPr>
        <w:pStyle w:val="ListBullet"/>
        <w:spacing w:after="60" w:line="312" w:lineRule="auto"/>
      </w:pPr>
      <w:r>
        <w:rPr>
          <w:rFonts w:ascii="Arial" w:hAnsi="Arial"/>
          <w:b w:val="0"/>
          <w:color w:val="3A4047"/>
          <w:sz w:val="22"/>
        </w:rPr>
        <w:t>Pre-construction compliance documentation (SWMS, JSEAs, CoCs)</w:t>
      </w:r>
    </w:p>
    <w:p>
      <w:pPr>
        <w:pStyle w:val="ListBullet"/>
        <w:spacing w:after="60" w:line="312" w:lineRule="auto"/>
      </w:pPr>
      <w:r>
        <w:rPr>
          <w:rFonts w:ascii="Arial" w:hAnsi="Arial"/>
          <w:b w:val="0"/>
          <w:color w:val="3A4047"/>
          <w:sz w:val="22"/>
        </w:rPr>
        <w:t>References and recent project examples on request</w:t>
      </w:r>
    </w:p>
    <w:p>
      <w:r>
        <w:br w:type="page"/>
      </w:r>
    </w:p>
    <w:p>
      <w:pPr>
        <w:spacing w:after="80"/>
      </w:pPr>
      <w:r>
        <w:rPr>
          <w:rFonts w:ascii="Arial" w:hAnsi="Arial"/>
          <w:b/>
          <w:color w:val="E87722"/>
          <w:sz w:val="16"/>
          <w:spacing w:val="60"/>
        </w:rPr>
        <w:t>15 · WHY NOVA JONES</w:t>
      </w:r>
    </w:p>
    <w:p>
      <w:pPr>
        <w:spacing w:before="160" w:after="220"/>
      </w:pPr>
      <w:r>
        <w:rPr>
          <w:rFonts w:ascii="Arial" w:hAnsi="Arial"/>
          <w:b/>
          <w:color w:val="15181B"/>
          <w:sz w:val="40"/>
        </w:rPr>
        <w:t>Why builders choose Nova Jones.</w:t>
      </w:r>
    </w:p>
    <w:p>
      <w:pPr>
        <w:spacing w:line="348" w:lineRule="auto" w:after="140"/>
      </w:pPr>
      <w:r>
        <w:rPr>
          <w:rFonts w:ascii="Arial" w:hAnsi="Arial"/>
          <w:b w:val="0"/>
          <w:color w:val="3A4047"/>
          <w:sz w:val="22"/>
        </w:rPr>
        <w:t>Nova Jones is structured for the medium-density, institutional and commercial sectors where compliance, programme and accountability matter most.</w:t>
      </w:r>
    </w:p>
    <w:tbl>
      <w:tblPr>
        <w:tblW w:type="auto" w:w="0"/>
        <w:tblLook w:firstColumn="1" w:firstRow="1" w:lastColumn="0" w:lastRow="0" w:noHBand="0" w:noVBand="1" w:val="04A0"/>
      </w:tblPr>
      <w:tblGrid>
        <w:gridCol w:w="4703"/>
        <w:gridCol w:w="4703"/>
      </w:tblGrid>
      <w:tr>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Victorian-based, all of Victoria</w:t>
            </w:r>
          </w:p>
          <w:p>
            <w:pPr>
              <w:spacing w:after="0" w:line="324" w:lineRule="auto"/>
            </w:pPr>
            <w:r>
              <w:rPr>
                <w:rFonts w:ascii="Arial" w:hAnsi="Arial"/>
                <w:b w:val="0"/>
                <w:color w:val="3A4047"/>
                <w:sz w:val="18"/>
              </w:rPr>
              <w:t>Local presence ensures a strong understanding of Victorian construction standards, compliance requirements and site conditions — delivering consistent outcomes across metropolitan Melbourne and regional Victoria.</w:t>
            </w:r>
          </w:p>
        </w:tc>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End-to-end supply and installation</w:t>
            </w:r>
          </w:p>
          <w:p>
            <w:pPr>
              <w:spacing w:after="0" w:line="324" w:lineRule="auto"/>
            </w:pPr>
            <w:r>
              <w:rPr>
                <w:rFonts w:ascii="Arial" w:hAnsi="Arial"/>
                <w:b w:val="0"/>
                <w:color w:val="3A4047"/>
                <w:sz w:val="18"/>
              </w:rPr>
              <w:t>A fully integrated supply-and-install solution offering builders a single point of responsibility for External Cladding works. Reduces trade interfaces and ensures continuity from procurement to handover.</w:t>
            </w:r>
          </w:p>
        </w:tc>
      </w:tr>
      <w:tr>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Experienced External Cladding specialists</w:t>
            </w:r>
          </w:p>
          <w:p>
            <w:pPr>
              <w:spacing w:after="0" w:line="324" w:lineRule="auto"/>
            </w:pPr>
            <w:r>
              <w:rPr>
                <w:rFonts w:ascii="Arial" w:hAnsi="Arial"/>
                <w:b w:val="0"/>
                <w:color w:val="3A4047"/>
                <w:sz w:val="18"/>
              </w:rPr>
              <w:t>Skilled installers and supervisors with proven experience delivering cladding, architectural mouldings, rendering and wall systems. We understand detailing, sequencing and tolerances aligned to architectural intent.</w:t>
            </w:r>
          </w:p>
        </w:tc>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Builder-focused delivery model</w:t>
            </w:r>
          </w:p>
          <w:p>
            <w:pPr>
              <w:spacing w:after="0" w:line="324" w:lineRule="auto"/>
            </w:pPr>
            <w:r>
              <w:rPr>
                <w:rFonts w:ascii="Arial" w:hAnsi="Arial"/>
                <w:b w:val="0"/>
                <w:color w:val="3A4047"/>
                <w:sz w:val="18"/>
              </w:rPr>
              <w:t>Our processes align with site programmes and construction sequencing. Designed to support efficient site operations, minimise disruption and integrate seamlessly with other trades.</w:t>
            </w:r>
          </w:p>
        </w:tc>
      </w:tr>
      <w:tr>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Clear communication and site coordination</w:t>
            </w:r>
          </w:p>
          <w:p>
            <w:pPr>
              <w:spacing w:after="0" w:line="324" w:lineRule="auto"/>
            </w:pPr>
            <w:r>
              <w:rPr>
                <w:rFonts w:ascii="Arial" w:hAnsi="Arial"/>
                <w:b w:val="0"/>
                <w:color w:val="3A4047"/>
                <w:sz w:val="18"/>
              </w:rPr>
              <w:t>Each project is managed by a dedicated project manager overseeing planning, scheduling, site coordination, quality control and progress sign-off.</w:t>
            </w:r>
          </w:p>
        </w:tc>
        <w:tc>
          <w:tcPr>
            <w:tcW w:type="dxa" w:w="4703"/>
            <w:shd w:val="clear" w:color="auto" w:fill="F4F5F7"/>
            <w:tcBorders>
              <w:top w:val="single" w:sz="6" w:color="FFFFFF"/>
              <w:left w:val="single" w:sz="6" w:color="FFFFFF"/>
              <w:bottom w:val="single" w:sz="6" w:color="FFFFFF"/>
              <w:right w:val="single" w:sz="6" w:color="FFFFFF"/>
            </w:tcBorders>
            <w:vAlign w:val="top"/>
          </w:tcPr>
          <w:p>
            <w:pPr>
              <w:spacing w:after="80"/>
            </w:pPr>
            <w:r/>
            <w:r>
              <w:rPr>
                <w:rFonts w:ascii="Arial" w:hAnsi="Arial"/>
                <w:b/>
                <w:color w:val="15181B"/>
                <w:sz w:val="22"/>
              </w:rPr>
              <w:t>Compliance and documentation, complete</w:t>
            </w:r>
          </w:p>
          <w:p>
            <w:pPr>
              <w:spacing w:after="0" w:line="324" w:lineRule="auto"/>
            </w:pPr>
            <w:r>
              <w:rPr>
                <w:rFonts w:ascii="Arial" w:hAnsi="Arial"/>
                <w:b w:val="0"/>
                <w:color w:val="3A4047"/>
                <w:sz w:val="18"/>
              </w:rPr>
              <w:t>Project-specific SWMS, AS/NZS and NCC documentation, manufacturer certifications, CodeMark references where applicable, and final warranty packs delivered as part of handover.</w:t>
            </w:r>
          </w:p>
        </w:tc>
      </w:tr>
    </w:tbl>
    <w:p>
      <w:r>
        <w:br w:type="page"/>
      </w:r>
    </w:p>
    <w:p>
      <w:pPr>
        <w:spacing w:after="80"/>
      </w:pPr>
      <w:r>
        <w:rPr>
          <w:rFonts w:ascii="Arial" w:hAnsi="Arial"/>
          <w:b/>
          <w:color w:val="E87722"/>
          <w:sz w:val="16"/>
          <w:spacing w:val="60"/>
        </w:rPr>
        <w:t>16 · CONTACT</w:t>
      </w:r>
    </w:p>
    <w:p>
      <w:pPr>
        <w:spacing w:after="240"/>
      </w:pPr>
      <w:r>
        <w:rPr>
          <w:rFonts w:ascii="Arial" w:hAnsi="Arial"/>
          <w:b/>
          <w:color w:val="15181B"/>
          <w:sz w:val="44"/>
        </w:rPr>
        <w:t>Let's talk about your next External Cladding scope.</w:t>
      </w:r>
    </w:p>
    <w:p>
      <w:pPr>
        <w:spacing w:line="348" w:lineRule="auto" w:after="140"/>
      </w:pPr>
      <w:r>
        <w:rPr>
          <w:rFonts w:ascii="Arial" w:hAnsi="Arial"/>
          <w:b w:val="0"/>
          <w:color w:val="3A4047"/>
          <w:sz w:val="22"/>
        </w:rPr>
        <w:t>Send your drawings, scope or project brief and we will respond within one business day with a buildable External Cladding option, indicative pricing and a delivery plan aligned to your programme.</w:t>
      </w:r>
    </w:p>
    <w:p>
      <w:pPr>
        <w:spacing w:before="160" w:after="200"/>
        <w:pBdr>
          <w:bottom w:val="single" w:sz="18" w:color="E87722" w:space="1"/>
        </w:pBdr>
      </w:pPr>
    </w:p>
    <w:p>
      <w:pPr>
        <w:spacing w:after="40"/>
      </w:pPr>
      <w:r>
        <w:rPr>
          <w:rFonts w:ascii="Arial" w:hAnsi="Arial"/>
          <w:b/>
          <w:color w:val="E87722"/>
          <w:sz w:val="16"/>
          <w:spacing w:val="80"/>
        </w:rPr>
        <w:t>PHONE</w:t>
      </w:r>
    </w:p>
    <w:p>
      <w:pPr>
        <w:spacing w:after="240"/>
      </w:pPr>
      <w:r>
        <w:rPr>
          <w:rFonts w:ascii="Arial" w:hAnsi="Arial"/>
          <w:b/>
          <w:color w:val="15181B"/>
          <w:sz w:val="32"/>
        </w:rPr>
        <w:t>0433 044 046</w:t>
      </w:r>
    </w:p>
    <w:p>
      <w:pPr>
        <w:spacing w:after="40"/>
      </w:pPr>
      <w:r>
        <w:rPr>
          <w:rFonts w:ascii="Arial" w:hAnsi="Arial"/>
          <w:b/>
          <w:color w:val="E87722"/>
          <w:sz w:val="16"/>
          <w:spacing w:val="80"/>
        </w:rPr>
        <w:t>EMAIL</w:t>
      </w:r>
    </w:p>
    <w:p>
      <w:pPr>
        <w:spacing w:after="240"/>
      </w:pPr>
      <w:r>
        <w:rPr>
          <w:rFonts w:ascii="Arial" w:hAnsi="Arial"/>
          <w:b/>
          <w:color w:val="15181B"/>
          <w:sz w:val="26"/>
        </w:rPr>
        <w:t>sales@novajones.com.au</w:t>
      </w:r>
    </w:p>
    <w:p>
      <w:pPr>
        <w:spacing w:after="40"/>
      </w:pPr>
      <w:r>
        <w:rPr>
          <w:rFonts w:ascii="Arial" w:hAnsi="Arial"/>
          <w:b/>
          <w:color w:val="E87722"/>
          <w:sz w:val="16"/>
          <w:spacing w:val="80"/>
        </w:rPr>
        <w:t>WEB</w:t>
      </w:r>
    </w:p>
    <w:p>
      <w:pPr>
        <w:spacing w:after="240"/>
      </w:pPr>
      <w:r>
        <w:rPr>
          <w:rFonts w:ascii="Arial" w:hAnsi="Arial"/>
          <w:b/>
          <w:color w:val="15181B"/>
          <w:sz w:val="26"/>
        </w:rPr>
        <w:t>www.novajones.com.au</w:t>
      </w:r>
    </w:p>
    <w:p>
      <w:pPr>
        <w:spacing w:after="40"/>
      </w:pPr>
      <w:r>
        <w:rPr>
          <w:rFonts w:ascii="Arial" w:hAnsi="Arial"/>
          <w:b/>
          <w:color w:val="E87722"/>
          <w:sz w:val="16"/>
          <w:spacing w:val="80"/>
        </w:rPr>
        <w:t>OFFICE</w:t>
      </w:r>
    </w:p>
    <w:p>
      <w:pPr>
        <w:spacing w:after="40"/>
      </w:pPr>
      <w:r>
        <w:rPr>
          <w:rFonts w:ascii="Arial" w:hAnsi="Arial"/>
          <w:b w:val="0"/>
          <w:color w:val="15181B"/>
          <w:sz w:val="24"/>
        </w:rPr>
        <w:t>18 Southeast Boulevard</w:t>
      </w:r>
    </w:p>
    <w:p>
      <w:pPr>
        <w:spacing w:after="400"/>
      </w:pPr>
      <w:r>
        <w:rPr>
          <w:rFonts w:ascii="Arial" w:hAnsi="Arial"/>
          <w:b w:val="0"/>
          <w:color w:val="15181B"/>
          <w:sz w:val="24"/>
        </w:rPr>
        <w:t>Pakenham, Victoria 3810  ·  Australia</w:t>
      </w:r>
    </w:p>
    <w:p>
      <w:pPr>
        <w:spacing w:after="40"/>
      </w:pPr>
      <w:r>
        <w:rPr>
          <w:rFonts w:ascii="Arial" w:hAnsi="Arial"/>
          <w:b/>
          <w:color w:val="E87722"/>
          <w:sz w:val="16"/>
          <w:spacing w:val="80"/>
        </w:rPr>
        <w:t>HOURS</w:t>
      </w:r>
    </w:p>
    <w:p>
      <w:r>
        <w:rPr>
          <w:rFonts w:ascii="Arial" w:hAnsi="Arial"/>
          <w:b w:val="0"/>
          <w:color w:val="3A4047"/>
          <w:sz w:val="22"/>
        </w:rPr>
        <w:t>Monday — Friday   ·   7:30am — 4:00pm AEST</w:t>
      </w:r>
    </w:p>
    <w:sectPr w:rsidR="00FC693F" w:rsidRPr="0006063C" w:rsidSect="00034616">
      <w:footerReference w:type="default" r:id="rId10"/>
      <w:pgSz w:w="12240" w:h="15840"/>
      <w:pgMar w:top="1417" w:right="1417" w:bottom="1701"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tabs>
        <w:tab w:pos="8787" w:val="right"/>
      </w:tabs>
      <w:pBdr>
        <w:top w:val="single" w:sz="6" w:color="E87722" w:space="8"/>
      </w:pBdr>
    </w:pPr>
    <w:r>
      <w:rPr>
        <w:rFonts w:ascii="Arial" w:hAnsi="Arial"/>
        <w:b w:val="0"/>
        <w:color w:val="8B9099"/>
        <w:sz w:val="16"/>
      </w:rPr>
      <w:t>Nova Jones  ·  Capability Statement 2026  ·  External Cladding</w:t>
    </w:r>
    <w:r>
      <w:tab/>
    </w:r>
    <w:r>
      <w:rPr>
        <w:rFonts w:ascii="Arial" w:hAnsi="Arial"/>
        <w:b w:val="0"/>
        <w:color w:val="8B9099"/>
        <w:sz w:val="16"/>
      </w:rPr>
      <w:t xml:space="preserve">novajones.com.au   ·   Page </w:t>
    </w:r>
    <w:r>
      <w:rPr>
        <w:rFonts w:ascii="Arial" w:hAnsi="Arial"/>
        <w:b/>
        <w:color w:val="15181B"/>
        <w:sz w:val="16"/>
      </w:rPr>
      <w:fldSimple w:instr="PAGE">
        <w:r>
          <w:t>1</w:t>
        </w:r>
      </w:fldSimple>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